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DF" w:rsidRPr="00CF1F54" w:rsidRDefault="003377DF" w:rsidP="003377DF">
      <w:pPr>
        <w:spacing w:after="0"/>
        <w:ind w:left="720"/>
        <w:contextualSpacing/>
        <w:jc w:val="center"/>
        <w:rPr>
          <w:b/>
        </w:rPr>
      </w:pPr>
      <w:r w:rsidRPr="00CF1F54">
        <w:rPr>
          <w:b/>
        </w:rPr>
        <w:t>UNDERGRADUATE RESEARCH METHODS</w:t>
      </w:r>
    </w:p>
    <w:p w:rsidR="003377DF" w:rsidRPr="00CF1F54" w:rsidRDefault="003377DF" w:rsidP="003377DF">
      <w:pPr>
        <w:spacing w:after="0"/>
        <w:ind w:left="720"/>
        <w:contextualSpacing/>
        <w:jc w:val="center"/>
      </w:pPr>
      <w:r w:rsidRPr="00CF1F54">
        <w:t>TAMU-C History Department</w:t>
      </w:r>
    </w:p>
    <w:p w:rsidR="003377DF" w:rsidRPr="00CF1F54" w:rsidRDefault="003377DF" w:rsidP="003377DF">
      <w:pPr>
        <w:spacing w:after="0"/>
        <w:ind w:left="720"/>
        <w:contextualSpacing/>
        <w:jc w:val="center"/>
      </w:pPr>
      <w:r w:rsidRPr="00CF1F54">
        <w:t>First edition (2016)</w:t>
      </w:r>
    </w:p>
    <w:p w:rsidR="003377DF" w:rsidRPr="00CF1F54" w:rsidRDefault="003377DF" w:rsidP="003377DF">
      <w:pPr>
        <w:spacing w:after="0"/>
        <w:ind w:left="720"/>
        <w:contextualSpacing/>
        <w:jc w:val="center"/>
      </w:pPr>
    </w:p>
    <w:p w:rsidR="003377DF" w:rsidRPr="00CF1F54" w:rsidRDefault="003377DF" w:rsidP="003377DF">
      <w:pPr>
        <w:spacing w:after="0"/>
        <w:ind w:left="720"/>
        <w:contextualSpacing/>
        <w:jc w:val="center"/>
      </w:pPr>
    </w:p>
    <w:p w:rsidR="003377DF" w:rsidRPr="00CF1F54" w:rsidRDefault="00C6594F" w:rsidP="003377DF">
      <w:pPr>
        <w:spacing w:after="0"/>
        <w:ind w:left="720"/>
        <w:contextualSpacing/>
        <w:rPr>
          <w:b/>
        </w:rPr>
      </w:pPr>
      <w:r w:rsidRPr="00CF1F54">
        <w:rPr>
          <w:b/>
          <w:i/>
        </w:rPr>
        <w:t>What is crucial to grasp is that there is an enormous variety of narrative approaches and that new ones will continue to appear. There is, qu</w:t>
      </w:r>
      <w:r w:rsidR="00F1581D" w:rsidRPr="00CF1F54">
        <w:rPr>
          <w:b/>
          <w:i/>
        </w:rPr>
        <w:t>ite simply, no such thing as a ‘</w:t>
      </w:r>
      <w:r w:rsidRPr="00CF1F54">
        <w:rPr>
          <w:b/>
          <w:i/>
        </w:rPr>
        <w:t>definitive</w:t>
      </w:r>
      <w:r w:rsidR="00F1581D" w:rsidRPr="00CF1F54">
        <w:rPr>
          <w:b/>
          <w:i/>
        </w:rPr>
        <w:t>’</w:t>
      </w:r>
      <w:r w:rsidRPr="00CF1F54">
        <w:rPr>
          <w:b/>
          <w:i/>
        </w:rPr>
        <w:t xml:space="preserve"> treatment of any topic</w:t>
      </w:r>
      <w:r w:rsidRPr="00CF1F54">
        <w:rPr>
          <w:b/>
        </w:rPr>
        <w:t>.</w:t>
      </w:r>
      <w:r w:rsidR="00F1581D" w:rsidRPr="00CF1F54">
        <w:rPr>
          <w:rStyle w:val="FootnoteReference"/>
          <w:b/>
        </w:rPr>
        <w:footnoteReference w:id="1"/>
      </w:r>
      <w:r w:rsidR="00F1581D" w:rsidRPr="00CF1F54">
        <w:rPr>
          <w:b/>
        </w:rPr>
        <w:t xml:space="preserve"> </w:t>
      </w:r>
    </w:p>
    <w:p w:rsidR="003377DF" w:rsidRPr="00CF1F54" w:rsidRDefault="003377DF" w:rsidP="003377DF">
      <w:pPr>
        <w:spacing w:after="0"/>
        <w:ind w:left="720"/>
        <w:contextualSpacing/>
        <w:rPr>
          <w:b/>
        </w:rPr>
      </w:pPr>
      <w:bookmarkStart w:id="0" w:name="_GoBack"/>
      <w:bookmarkEnd w:id="0"/>
    </w:p>
    <w:p w:rsidR="00F1581D" w:rsidRPr="00CF1F54" w:rsidRDefault="00F1581D" w:rsidP="003377DF">
      <w:pPr>
        <w:spacing w:after="0" w:line="480" w:lineRule="auto"/>
        <w:contextualSpacing/>
      </w:pPr>
      <w:r w:rsidRPr="00CF1F54">
        <w:t xml:space="preserve">Essentially, writing history is an act of interpretation. Historians attempt to illustrate the past by ascribing meaning to the events, people and activities that </w:t>
      </w:r>
      <w:r w:rsidR="00D90BFB" w:rsidRPr="00CF1F54">
        <w:t>are</w:t>
      </w:r>
      <w:r w:rsidRPr="00CF1F54">
        <w:t xml:space="preserve"> analyze</w:t>
      </w:r>
      <w:r w:rsidR="00D90BFB" w:rsidRPr="00CF1F54">
        <w:t>d</w:t>
      </w:r>
      <w:r w:rsidR="003377DF" w:rsidRPr="00CF1F54">
        <w:t xml:space="preserve">. “Doing” </w:t>
      </w:r>
      <w:r w:rsidRPr="00CF1F54">
        <w:t xml:space="preserve">history </w:t>
      </w:r>
      <w:r w:rsidR="003377DF" w:rsidRPr="00CF1F54">
        <w:t>means conducting an</w:t>
      </w:r>
      <w:r w:rsidR="00D90BFB" w:rsidRPr="00CF1F54">
        <w:t xml:space="preserve"> </w:t>
      </w:r>
      <w:r w:rsidRPr="00CF1F54">
        <w:t xml:space="preserve">analysis, highlighting some significance </w:t>
      </w:r>
      <w:r w:rsidR="00A10E91" w:rsidRPr="00CF1F54">
        <w:t>regarding</w:t>
      </w:r>
      <w:r w:rsidRPr="00CF1F54">
        <w:t xml:space="preserve"> the topic under consideration and, therefore, migrating beyond a narrative or chronicling of the past. As Anthony </w:t>
      </w:r>
      <w:proofErr w:type="spellStart"/>
      <w:r w:rsidRPr="00CF1F54">
        <w:t>Brundage</w:t>
      </w:r>
      <w:proofErr w:type="spellEnd"/>
      <w:r w:rsidRPr="00CF1F54">
        <w:t xml:space="preserve"> observed, history is not a “story with a fixed plot and cast of characters.”</w:t>
      </w:r>
      <w:r w:rsidRPr="00CF1F54">
        <w:rPr>
          <w:rStyle w:val="FootnoteReference"/>
        </w:rPr>
        <w:footnoteReference w:id="2"/>
      </w:r>
      <w:r w:rsidR="00A10E91" w:rsidRPr="00CF1F54">
        <w:t xml:space="preserve"> Historical meaning constantly evolves relative to the historian’s own present. Therefore, </w:t>
      </w:r>
      <w:r w:rsidR="003415A2">
        <w:t>historians</w:t>
      </w:r>
      <w:r w:rsidR="00A10E91" w:rsidRPr="00CF1F54">
        <w:t xml:space="preserve"> constantly revisit and rewrit</w:t>
      </w:r>
      <w:r w:rsidR="003415A2">
        <w:t>e history</w:t>
      </w:r>
      <w:r w:rsidR="00A10E91" w:rsidRPr="00CF1F54">
        <w:t>.</w:t>
      </w:r>
    </w:p>
    <w:p w:rsidR="003377DF" w:rsidRPr="00CF1F54" w:rsidRDefault="003377DF" w:rsidP="003377DF">
      <w:pPr>
        <w:spacing w:after="0" w:line="480" w:lineRule="auto"/>
        <w:contextualSpacing/>
        <w:rPr>
          <w:b/>
        </w:rPr>
      </w:pPr>
    </w:p>
    <w:p w:rsidR="00A10E91" w:rsidRPr="00CF1F54" w:rsidRDefault="00A10E91" w:rsidP="003377DF">
      <w:pPr>
        <w:pStyle w:val="ListParagraph"/>
        <w:numPr>
          <w:ilvl w:val="0"/>
          <w:numId w:val="3"/>
        </w:numPr>
        <w:spacing w:after="0" w:line="480" w:lineRule="auto"/>
        <w:rPr>
          <w:b/>
        </w:rPr>
      </w:pPr>
      <w:r w:rsidRPr="00CF1F54">
        <w:rPr>
          <w:b/>
        </w:rPr>
        <w:t>Introduction</w:t>
      </w:r>
    </w:p>
    <w:p w:rsidR="003377DF" w:rsidRPr="00CF1F54" w:rsidRDefault="003377DF" w:rsidP="00060AD6">
      <w:pPr>
        <w:spacing w:after="0" w:line="480" w:lineRule="auto"/>
        <w:ind w:firstLine="720"/>
        <w:contextualSpacing/>
      </w:pPr>
      <w:r w:rsidRPr="00CF1F54">
        <w:t xml:space="preserve">In Latin, </w:t>
      </w:r>
      <w:r w:rsidRPr="00CF1F54">
        <w:rPr>
          <w:i/>
        </w:rPr>
        <w:t>vade mecum</w:t>
      </w:r>
      <w:r w:rsidRPr="00CF1F54">
        <w:t xml:space="preserve"> roughly means “follow me,” and is used in academic circles to indicate a model that students should follow to develop proficiency in a particular task—in this case, the composition of a research paper.</w:t>
      </w:r>
      <w:r w:rsidR="00FF6C3A">
        <w:t xml:space="preserve">  </w:t>
      </w:r>
      <w:r w:rsidRPr="00CF1F54">
        <w:t>Now, writing a paper may not be the easiest of tasks, but with a few guidelines the process can be greatly facilitated, and you can concentrate upon the substance of your paper rather than fretting over the style.</w:t>
      </w:r>
      <w:r w:rsidR="00FF6C3A">
        <w:t xml:space="preserve">  </w:t>
      </w:r>
      <w:r w:rsidRPr="00CF1F54">
        <w:t>By following the examples presented in this guidebook, you will not only begin to present your ideas in a clean and impressive manner that positively impresses your history professor, but you will start to gain an expertise in the mechanics of writing history essays that leap off the page, engage all who read them, and just maybe craft essays worthy of publication.</w:t>
      </w:r>
    </w:p>
    <w:p w:rsidR="003377DF" w:rsidRPr="00CF1F54" w:rsidRDefault="003377DF" w:rsidP="00060AD6">
      <w:pPr>
        <w:spacing w:after="0" w:line="480" w:lineRule="auto"/>
        <w:contextualSpacing/>
      </w:pPr>
      <w:r w:rsidRPr="00CF1F54">
        <w:tab/>
        <w:t>Let us begin with the general format of the history paper.</w:t>
      </w:r>
      <w:r w:rsidR="00FF6C3A">
        <w:t xml:space="preserve">  </w:t>
      </w:r>
      <w:r w:rsidRPr="00CF1F54">
        <w:t xml:space="preserve">Whether you are using a word processing program such as WordPerfect or Microsoft Word, all papers should be formatted as you see here: one-inch margins on top, bottom, and both sides, with the text formatted in Times New Roman (12 </w:t>
      </w:r>
      <w:r w:rsidRPr="00CF1F54">
        <w:lastRenderedPageBreak/>
        <w:t>pt.) font.</w:t>
      </w:r>
      <w:r w:rsidR="00FF6C3A">
        <w:t xml:space="preserve">  </w:t>
      </w:r>
      <w:r w:rsidRPr="00CF1F54">
        <w:t>Avoid using frivolous or interesting fonts, as they can be distracting, to say the least (and they screw up your spacing sometimes if you mix your fonts).</w:t>
      </w:r>
      <w:r w:rsidR="00FF6C3A">
        <w:t xml:space="preserve">  </w:t>
      </w:r>
      <w:r w:rsidRPr="00CF1F54">
        <w:t>Tabs beginning paragraphs should be set at .5 inches.</w:t>
      </w:r>
      <w:r w:rsidR="00FF6C3A">
        <w:t xml:space="preserve">  </w:t>
      </w:r>
      <w:r w:rsidRPr="00CF1F54">
        <w:t>Your text must be double-spaced unless otherwise directed.</w:t>
      </w:r>
      <w:r w:rsidR="00FF6C3A">
        <w:t xml:space="preserve">  </w:t>
      </w:r>
      <w:r w:rsidRPr="00CF1F54">
        <w:t>New ver</w:t>
      </w:r>
      <w:r w:rsidR="000A614F">
        <w:t>sions of Microsoft Word default</w:t>
      </w:r>
      <w:r w:rsidRPr="00CF1F54">
        <w:t xml:space="preserve"> spacing such that an extra space appears between paragraphs of the same style.</w:t>
      </w:r>
      <w:r w:rsidR="00FF6C3A">
        <w:t xml:space="preserve">  </w:t>
      </w:r>
      <w:r w:rsidRPr="00CF1F54">
        <w:t>Please disable this from the “Paragraph” tab of the “Home” menu by checking on “Don’t add space between paragraphs of the same style.”</w:t>
      </w:r>
      <w:r w:rsidR="00FF6C3A">
        <w:t xml:space="preserve">  </w:t>
      </w:r>
      <w:r w:rsidRPr="00CF1F54">
        <w:t>All papers that are longer than five pages should have a title page, and an unnumbered blank end page is helpful for professors to jot down their comments and suggestions.</w:t>
      </w:r>
      <w:r w:rsidR="00FF6C3A">
        <w:t xml:space="preserve">  </w:t>
      </w:r>
      <w:r w:rsidRPr="00CF1F54">
        <w:t>All pages in a paper, except for the title page, must be numbered, with the number placed either in the top right hand corner, or in the middle at the top of the page</w:t>
      </w:r>
    </w:p>
    <w:p w:rsidR="003377DF" w:rsidRPr="00CF1F54" w:rsidRDefault="003377DF" w:rsidP="003377DF">
      <w:pPr>
        <w:spacing w:after="0" w:line="480" w:lineRule="auto"/>
        <w:contextualSpacing/>
      </w:pPr>
      <w:r w:rsidRPr="00CF1F54">
        <w:tab/>
        <w:t>Instructors assigning papers expect students to produce an essay of a prescribed length dictated in the course syllabus, and are usually dogmatic about adherence to this direction.</w:t>
      </w:r>
      <w:r w:rsidR="00FF6C3A">
        <w:t xml:space="preserve">  </w:t>
      </w:r>
      <w:r w:rsidRPr="00CF1F54">
        <w:t>If a professor asks for a paper of a minimum ten pages in length, then make sure that the final draft is ten pages long (not counting the title page and bibliography) and not less than that.</w:t>
      </w:r>
      <w:r w:rsidR="00FF6C3A">
        <w:t xml:space="preserve">  </w:t>
      </w:r>
      <w:r w:rsidRPr="00CF1F54">
        <w:t>More might be acceptable, but check with your instructor on that point.</w:t>
      </w:r>
      <w:r w:rsidR="00FF6C3A">
        <w:t xml:space="preserve">  </w:t>
      </w:r>
    </w:p>
    <w:p w:rsidR="003377DF" w:rsidRPr="00CF1F54" w:rsidRDefault="003377DF" w:rsidP="003377DF">
      <w:pPr>
        <w:spacing w:after="0" w:line="480" w:lineRule="auto"/>
        <w:contextualSpacing/>
      </w:pPr>
    </w:p>
    <w:p w:rsidR="0012226D" w:rsidRPr="00CF1F54" w:rsidRDefault="003377DF" w:rsidP="003377DF">
      <w:pPr>
        <w:pStyle w:val="ListParagraph"/>
        <w:numPr>
          <w:ilvl w:val="0"/>
          <w:numId w:val="3"/>
        </w:numPr>
        <w:spacing w:after="0" w:line="480" w:lineRule="auto"/>
        <w:rPr>
          <w:b/>
        </w:rPr>
      </w:pPr>
      <w:r w:rsidRPr="00CF1F54">
        <w:rPr>
          <w:b/>
        </w:rPr>
        <w:t>I</w:t>
      </w:r>
      <w:r w:rsidR="00060AD6" w:rsidRPr="00CF1F54">
        <w:rPr>
          <w:b/>
        </w:rPr>
        <w:t xml:space="preserve">dentifying </w:t>
      </w:r>
      <w:r w:rsidR="00C6594F" w:rsidRPr="00CF1F54">
        <w:rPr>
          <w:b/>
        </w:rPr>
        <w:t>topic</w:t>
      </w:r>
      <w:r w:rsidR="00060AD6" w:rsidRPr="00CF1F54">
        <w:rPr>
          <w:b/>
        </w:rPr>
        <w:t>s</w:t>
      </w:r>
      <w:r w:rsidR="00C6594F" w:rsidRPr="00CF1F54">
        <w:rPr>
          <w:b/>
        </w:rPr>
        <w:t xml:space="preserve"> </w:t>
      </w:r>
    </w:p>
    <w:p w:rsidR="00A10E91" w:rsidRPr="00CF1F54" w:rsidRDefault="003415A2" w:rsidP="003377DF">
      <w:pPr>
        <w:spacing w:after="0" w:line="480" w:lineRule="auto"/>
        <w:ind w:firstLine="720"/>
        <w:contextualSpacing/>
      </w:pPr>
      <w:r>
        <w:t>Chapter one</w:t>
      </w:r>
      <w:r w:rsidR="00060AD6" w:rsidRPr="00CF1F54">
        <w:t xml:space="preserve"> of the </w:t>
      </w:r>
      <w:r w:rsidR="00ED6461">
        <w:t>eighth</w:t>
      </w:r>
      <w:r w:rsidR="00060AD6" w:rsidRPr="00CF1F54">
        <w:t xml:space="preserve"> e</w:t>
      </w:r>
      <w:r w:rsidR="00A10E91" w:rsidRPr="00CF1F54">
        <w:t xml:space="preserve">dition of </w:t>
      </w:r>
      <w:proofErr w:type="spellStart"/>
      <w:r w:rsidR="00C6594F" w:rsidRPr="00CF1F54">
        <w:t>Turabian</w:t>
      </w:r>
      <w:r w:rsidR="00A10E91" w:rsidRPr="00CF1F54">
        <w:t>’s</w:t>
      </w:r>
      <w:proofErr w:type="spellEnd"/>
      <w:r w:rsidR="00C6594F" w:rsidRPr="00CF1F54">
        <w:t xml:space="preserve"> </w:t>
      </w:r>
      <w:r w:rsidR="00A10E91" w:rsidRPr="00CF1F54">
        <w:rPr>
          <w:i/>
        </w:rPr>
        <w:t>A Manual for Writers of Research Papers, Theses, and Dissertations</w:t>
      </w:r>
      <w:r w:rsidR="00060AD6" w:rsidRPr="00CF1F54">
        <w:rPr>
          <w:i/>
        </w:rPr>
        <w:t xml:space="preserve"> </w:t>
      </w:r>
      <w:r w:rsidR="0012226D" w:rsidRPr="00CF1F54">
        <w:t>sug</w:t>
      </w:r>
      <w:r w:rsidR="00060AD6" w:rsidRPr="00CF1F54">
        <w:t>gest</w:t>
      </w:r>
      <w:r w:rsidR="000A614F">
        <w:t>s</w:t>
      </w:r>
      <w:r w:rsidR="00060AD6" w:rsidRPr="00CF1F54">
        <w:t xml:space="preserve"> how you might identify </w:t>
      </w:r>
      <w:r w:rsidR="0012226D" w:rsidRPr="00CF1F54">
        <w:t>research topic</w:t>
      </w:r>
      <w:r w:rsidR="00060AD6" w:rsidRPr="00CF1F54">
        <w:t>s</w:t>
      </w:r>
      <w:r w:rsidR="0012226D" w:rsidRPr="00CF1F54">
        <w:t>.</w:t>
      </w:r>
      <w:r w:rsidR="00060AD6" w:rsidRPr="00CF1F54">
        <w:rPr>
          <w:vertAlign w:val="superscript"/>
        </w:rPr>
        <w:footnoteReference w:id="3"/>
      </w:r>
      <w:r w:rsidR="00FF6C3A">
        <w:t xml:space="preserve">  </w:t>
      </w:r>
      <w:r w:rsidR="0012226D" w:rsidRPr="00CF1F54">
        <w:t>Keep in mind that t</w:t>
      </w:r>
      <w:r w:rsidR="00C6594F" w:rsidRPr="00CF1F54">
        <w:t>he purpose of writing history is to explain why and how the facts support your interpretation.</w:t>
      </w:r>
      <w:r w:rsidR="00A128D2">
        <w:t xml:space="preserve"> Choose an interesting topic and then prove its value and interest to your reader.</w:t>
      </w:r>
    </w:p>
    <w:p w:rsidR="003415A2" w:rsidRPr="00CF1F54" w:rsidRDefault="003415A2" w:rsidP="003415A2">
      <w:pPr>
        <w:pStyle w:val="ListParagraph"/>
        <w:numPr>
          <w:ilvl w:val="0"/>
          <w:numId w:val="2"/>
        </w:numPr>
        <w:spacing w:after="0"/>
      </w:pPr>
      <w:r w:rsidRPr="00CF1F54">
        <w:t>Your paper will show how/why the research question was worth asking.</w:t>
      </w:r>
    </w:p>
    <w:p w:rsidR="00A10E91" w:rsidRPr="00CF1F54" w:rsidRDefault="0012226D" w:rsidP="003377DF">
      <w:pPr>
        <w:pStyle w:val="ListParagraph"/>
        <w:numPr>
          <w:ilvl w:val="0"/>
          <w:numId w:val="2"/>
        </w:numPr>
        <w:spacing w:after="0"/>
      </w:pPr>
      <w:r w:rsidRPr="00CF1F54">
        <w:t>Your paper will s</w:t>
      </w:r>
      <w:r w:rsidR="00C6594F" w:rsidRPr="00CF1F54">
        <w:t>how how the evidence supports the argument</w:t>
      </w:r>
      <w:r w:rsidR="00B23C9B" w:rsidRPr="00CF1F54">
        <w:t>.</w:t>
      </w:r>
    </w:p>
    <w:p w:rsidR="00A10E91" w:rsidRPr="00CF1F54" w:rsidRDefault="00A10E91" w:rsidP="003377DF">
      <w:pPr>
        <w:spacing w:after="0"/>
        <w:contextualSpacing/>
      </w:pPr>
    </w:p>
    <w:p w:rsidR="00060AD6" w:rsidRPr="00CF1F54" w:rsidRDefault="003415A2" w:rsidP="00A128D2">
      <w:pPr>
        <w:spacing w:after="0" w:line="480" w:lineRule="auto"/>
        <w:contextualSpacing/>
        <w:rPr>
          <w:b/>
        </w:rPr>
      </w:pPr>
      <w:r>
        <w:t xml:space="preserve">Historians employ facts as </w:t>
      </w:r>
      <w:r w:rsidR="00C6594F" w:rsidRPr="00CF1F54">
        <w:t>evidence to test research questions they ask about a topic. They search for evidence to support the argument that they present about the topic</w:t>
      </w:r>
      <w:r>
        <w:t xml:space="preserve"> and they account for evidence that appears to contradict their arguments</w:t>
      </w:r>
      <w:r w:rsidR="00C6594F" w:rsidRPr="00CF1F54">
        <w:t>.</w:t>
      </w:r>
      <w:r w:rsidR="00060AD6" w:rsidRPr="00CF1F54">
        <w:rPr>
          <w:b/>
        </w:rPr>
        <w:br w:type="page"/>
      </w:r>
    </w:p>
    <w:p w:rsidR="0012226D" w:rsidRPr="00CF1F54" w:rsidRDefault="00060AD6" w:rsidP="00060AD6">
      <w:pPr>
        <w:spacing w:after="0" w:line="480" w:lineRule="auto"/>
      </w:pPr>
      <w:r w:rsidRPr="00CF1F54">
        <w:rPr>
          <w:b/>
        </w:rPr>
        <w:lastRenderedPageBreak/>
        <w:t>III.</w:t>
      </w:r>
      <w:r w:rsidRPr="00CF1F54">
        <w:rPr>
          <w:b/>
        </w:rPr>
        <w:tab/>
        <w:t>Moving from topic to research question</w:t>
      </w:r>
      <w:r w:rsidR="00C6594F" w:rsidRPr="00CF1F54">
        <w:t xml:space="preserve"> </w:t>
      </w:r>
    </w:p>
    <w:p w:rsidR="00060AD6" w:rsidRPr="00CF1F54" w:rsidRDefault="00060AD6" w:rsidP="00060AD6">
      <w:pPr>
        <w:spacing w:after="0" w:line="480" w:lineRule="auto"/>
        <w:ind w:firstLine="720"/>
        <w:contextualSpacing/>
      </w:pPr>
      <w:r w:rsidRPr="00CF1F54">
        <w:t xml:space="preserve">Your paper needs both a research question and a potential answer to that research question, called a hypothesis. </w:t>
      </w:r>
      <w:r w:rsidR="00C72B45">
        <w:t>The best research questions present</w:t>
      </w:r>
      <w:r w:rsidRPr="00CF1F54">
        <w:t xml:space="preserve"> two or three possible answers.</w:t>
      </w:r>
      <w:r w:rsidRPr="00CF1F54">
        <w:rPr>
          <w:vertAlign w:val="superscript"/>
        </w:rPr>
        <w:footnoteReference w:id="4"/>
      </w:r>
      <w:r w:rsidRPr="00CF1F54">
        <w:t xml:space="preserve"> Multiple answers indicate that you have selected a good question.</w:t>
      </w:r>
      <w:r w:rsidR="00250591" w:rsidRPr="00CF1F54">
        <w:t xml:space="preserve"> </w:t>
      </w:r>
      <w:r w:rsidRPr="00CF1F54">
        <w:t xml:space="preserve">The purpose of developing hypotheses is </w:t>
      </w:r>
      <w:r w:rsidR="000A614F">
        <w:t xml:space="preserve">to </w:t>
      </w:r>
      <w:r w:rsidRPr="00CF1F54">
        <w:t>hon</w:t>
      </w:r>
      <w:r w:rsidR="000A614F">
        <w:t>e</w:t>
      </w:r>
      <w:r w:rsidRPr="00CF1F54">
        <w:t xml:space="preserve"> your skills as a critical thinker. Answers to research questions optimally should lead to new questions and the process of critical analysis continues.</w:t>
      </w:r>
    </w:p>
    <w:p w:rsidR="00250591" w:rsidRPr="00CF1F54" w:rsidRDefault="00250591" w:rsidP="00250591">
      <w:pPr>
        <w:widowControl w:val="0"/>
        <w:spacing w:after="0" w:line="480" w:lineRule="auto"/>
        <w:ind w:firstLine="720"/>
        <w:contextualSpacing/>
      </w:pPr>
      <w:r w:rsidRPr="00CF1F54">
        <w:t>The table below differentiates research questions from topics.</w:t>
      </w:r>
      <w:r w:rsidRPr="00CF1F54">
        <w:rPr>
          <w:vertAlign w:val="superscript"/>
        </w:rPr>
        <w:footnoteReference w:id="5"/>
      </w:r>
      <w:r w:rsidRPr="00CF1F54">
        <w:t xml:space="preserve"> A topic is never enough for an effective history paper because it lacks meaningful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50591" w:rsidRPr="000F675F" w:rsidTr="00FF6C3A">
        <w:tc>
          <w:tcPr>
            <w:tcW w:w="4788" w:type="dxa"/>
            <w:shd w:val="clear" w:color="auto" w:fill="auto"/>
          </w:tcPr>
          <w:p w:rsidR="00250591" w:rsidRDefault="00250591" w:rsidP="00FF6C3A">
            <w:pPr>
              <w:spacing w:after="0"/>
              <w:contextualSpacing/>
              <w:rPr>
                <w:sz w:val="20"/>
                <w:szCs w:val="20"/>
                <w:u w:val="single"/>
              </w:rPr>
            </w:pPr>
          </w:p>
          <w:p w:rsidR="00250591" w:rsidRPr="00250591" w:rsidRDefault="00250591" w:rsidP="00FF6C3A">
            <w:pPr>
              <w:spacing w:after="0"/>
              <w:contextualSpacing/>
              <w:rPr>
                <w:b/>
                <w:sz w:val="20"/>
                <w:szCs w:val="20"/>
              </w:rPr>
            </w:pPr>
            <w:r w:rsidRPr="00250591">
              <w:rPr>
                <w:b/>
                <w:sz w:val="20"/>
                <w:szCs w:val="20"/>
              </w:rPr>
              <w:t>Research questions</w:t>
            </w:r>
          </w:p>
          <w:p w:rsidR="00250591" w:rsidRPr="000F675F" w:rsidRDefault="00250591" w:rsidP="00FF6C3A">
            <w:pPr>
              <w:spacing w:after="0"/>
              <w:contextualSpacing/>
              <w:rPr>
                <w:sz w:val="20"/>
                <w:szCs w:val="20"/>
                <w:u w:val="single"/>
              </w:rPr>
            </w:pPr>
          </w:p>
          <w:p w:rsidR="00250591" w:rsidRPr="000F675F" w:rsidRDefault="00250591" w:rsidP="00FF6C3A">
            <w:pPr>
              <w:spacing w:after="0"/>
              <w:contextualSpacing/>
              <w:rPr>
                <w:sz w:val="20"/>
                <w:szCs w:val="20"/>
              </w:rPr>
            </w:pPr>
            <w:r w:rsidRPr="000F675F">
              <w:rPr>
                <w:sz w:val="20"/>
                <w:szCs w:val="20"/>
              </w:rPr>
              <w:t>How did Slaves preserve African Cultures in their everyday lives?</w:t>
            </w: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r w:rsidRPr="000F675F">
              <w:rPr>
                <w:sz w:val="20"/>
                <w:szCs w:val="20"/>
              </w:rPr>
              <w:t>Why did Christianity spread from Byzantium to Russia?</w:t>
            </w: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r w:rsidRPr="000F675F">
              <w:rPr>
                <w:sz w:val="20"/>
                <w:szCs w:val="20"/>
              </w:rPr>
              <w:t>What were medical practices in Islamic medicine from the eighth to the tenth centuries and how did they change?</w:t>
            </w:r>
          </w:p>
          <w:p w:rsidR="00250591" w:rsidRPr="000F675F" w:rsidRDefault="00250591" w:rsidP="00FF6C3A">
            <w:pPr>
              <w:spacing w:after="0"/>
              <w:contextualSpacing/>
              <w:rPr>
                <w:sz w:val="20"/>
                <w:szCs w:val="20"/>
              </w:rPr>
            </w:pPr>
          </w:p>
          <w:p w:rsidR="00250591" w:rsidRDefault="00250591" w:rsidP="00FF6C3A">
            <w:pPr>
              <w:spacing w:after="0"/>
              <w:contextualSpacing/>
              <w:rPr>
                <w:sz w:val="20"/>
                <w:szCs w:val="20"/>
              </w:rPr>
            </w:pPr>
            <w:r w:rsidRPr="000F675F">
              <w:rPr>
                <w:sz w:val="20"/>
                <w:szCs w:val="20"/>
              </w:rPr>
              <w:t>What were the lives of Indian women in the seventeenth and eighteenth centuries in British-influenced India like?</w:t>
            </w:r>
          </w:p>
          <w:p w:rsidR="00250591" w:rsidRPr="000F675F" w:rsidRDefault="00250591" w:rsidP="00FF6C3A">
            <w:pPr>
              <w:spacing w:after="0"/>
              <w:contextualSpacing/>
              <w:rPr>
                <w:sz w:val="20"/>
                <w:szCs w:val="20"/>
              </w:rPr>
            </w:pPr>
          </w:p>
        </w:tc>
        <w:tc>
          <w:tcPr>
            <w:tcW w:w="4788" w:type="dxa"/>
            <w:shd w:val="clear" w:color="auto" w:fill="auto"/>
          </w:tcPr>
          <w:p w:rsidR="00250591" w:rsidRDefault="00250591" w:rsidP="00FF6C3A">
            <w:pPr>
              <w:spacing w:after="0"/>
              <w:contextualSpacing/>
              <w:rPr>
                <w:sz w:val="20"/>
                <w:szCs w:val="20"/>
                <w:u w:val="single"/>
              </w:rPr>
            </w:pPr>
          </w:p>
          <w:p w:rsidR="00250591" w:rsidRPr="00250591" w:rsidRDefault="00250591" w:rsidP="00FF6C3A">
            <w:pPr>
              <w:spacing w:after="0"/>
              <w:contextualSpacing/>
              <w:rPr>
                <w:b/>
                <w:sz w:val="20"/>
                <w:szCs w:val="20"/>
              </w:rPr>
            </w:pPr>
            <w:r w:rsidRPr="00250591">
              <w:rPr>
                <w:b/>
                <w:sz w:val="20"/>
                <w:szCs w:val="20"/>
              </w:rPr>
              <w:t>Topics, not research questions</w:t>
            </w:r>
          </w:p>
          <w:p w:rsidR="00250591" w:rsidRPr="000F675F" w:rsidRDefault="00250591" w:rsidP="00FF6C3A">
            <w:pPr>
              <w:spacing w:after="0"/>
              <w:contextualSpacing/>
              <w:rPr>
                <w:sz w:val="20"/>
                <w:szCs w:val="20"/>
                <w:u w:val="single"/>
              </w:rPr>
            </w:pPr>
          </w:p>
          <w:p w:rsidR="00250591" w:rsidRPr="000F675F" w:rsidRDefault="00250591" w:rsidP="00FF6C3A">
            <w:pPr>
              <w:spacing w:after="0"/>
              <w:contextualSpacing/>
              <w:rPr>
                <w:sz w:val="20"/>
                <w:szCs w:val="20"/>
              </w:rPr>
            </w:pPr>
            <w:r w:rsidRPr="000F675F">
              <w:rPr>
                <w:sz w:val="20"/>
                <w:szCs w:val="20"/>
              </w:rPr>
              <w:t>Slave Trade</w:t>
            </w: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r w:rsidRPr="000F675F">
              <w:rPr>
                <w:sz w:val="20"/>
                <w:szCs w:val="20"/>
              </w:rPr>
              <w:t>Russian Orthodox Church Origins</w:t>
            </w: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r w:rsidRPr="000F675F">
              <w:rPr>
                <w:sz w:val="20"/>
                <w:szCs w:val="20"/>
              </w:rPr>
              <w:t>Islamic Civilization and Science</w:t>
            </w: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p>
          <w:p w:rsidR="00250591" w:rsidRPr="000F675F" w:rsidRDefault="00250591" w:rsidP="00FF6C3A">
            <w:pPr>
              <w:spacing w:after="0"/>
              <w:contextualSpacing/>
              <w:rPr>
                <w:sz w:val="20"/>
                <w:szCs w:val="20"/>
              </w:rPr>
            </w:pPr>
            <w:r w:rsidRPr="000F675F">
              <w:rPr>
                <w:sz w:val="20"/>
                <w:szCs w:val="20"/>
              </w:rPr>
              <w:t>Women and Imperialism</w:t>
            </w:r>
          </w:p>
        </w:tc>
      </w:tr>
    </w:tbl>
    <w:p w:rsidR="00250591" w:rsidRPr="00CF1F54" w:rsidRDefault="00250591" w:rsidP="00060AD6">
      <w:pPr>
        <w:spacing w:after="0" w:line="480" w:lineRule="auto"/>
        <w:ind w:firstLine="720"/>
        <w:contextualSpacing/>
      </w:pPr>
    </w:p>
    <w:p w:rsidR="00060AD6" w:rsidRPr="00CF1F54" w:rsidRDefault="00060AD6" w:rsidP="00060AD6">
      <w:pPr>
        <w:spacing w:after="0" w:line="480" w:lineRule="auto"/>
        <w:ind w:firstLine="720"/>
        <w:contextualSpacing/>
      </w:pPr>
      <w:r w:rsidRPr="00CF1F54">
        <w:t xml:space="preserve">Keep in mind that historians </w:t>
      </w:r>
      <w:r w:rsidR="00C72B45">
        <w:t>attempt</w:t>
      </w:r>
      <w:r w:rsidRPr="00CF1F54">
        <w:t xml:space="preserve"> to answer the question, “</w:t>
      </w:r>
      <w:r w:rsidRPr="00CF1F54">
        <w:rPr>
          <w:i/>
        </w:rPr>
        <w:t>so what?</w:t>
      </w:r>
      <w:r w:rsidRPr="00CF1F54">
        <w:t xml:space="preserve">” Effective research questions help explain a meaningful significance of the events encompassed by the topic. </w:t>
      </w:r>
      <w:r w:rsidR="0012226D" w:rsidRPr="00CF1F54">
        <w:t xml:space="preserve">Consult </w:t>
      </w:r>
      <w:r w:rsidR="00A10E91" w:rsidRPr="00CF1F54">
        <w:t>pages</w:t>
      </w:r>
      <w:r w:rsidR="00C6594F" w:rsidRPr="00CF1F54">
        <w:t xml:space="preserve"> 1</w:t>
      </w:r>
      <w:r w:rsidR="00ED6461">
        <w:t>2</w:t>
      </w:r>
      <w:r w:rsidR="00C6594F" w:rsidRPr="00CF1F54">
        <w:t xml:space="preserve">–18 </w:t>
      </w:r>
      <w:r w:rsidR="00A10E91" w:rsidRPr="00CF1F54">
        <w:t xml:space="preserve">of </w:t>
      </w:r>
      <w:proofErr w:type="spellStart"/>
      <w:r w:rsidR="00A10E91" w:rsidRPr="00CF1F54">
        <w:t>Turabian’s</w:t>
      </w:r>
      <w:proofErr w:type="spellEnd"/>
      <w:r w:rsidR="00A10E91" w:rsidRPr="00CF1F54">
        <w:t xml:space="preserve"> </w:t>
      </w:r>
      <w:r w:rsidR="00A10E91" w:rsidRPr="00CF1F54">
        <w:rPr>
          <w:i/>
        </w:rPr>
        <w:t xml:space="preserve">Manual </w:t>
      </w:r>
      <w:r w:rsidR="002E5A0B" w:rsidRPr="00CF1F54">
        <w:t xml:space="preserve">and your professors </w:t>
      </w:r>
      <w:r w:rsidR="0012226D" w:rsidRPr="00CF1F54">
        <w:t>for advice.</w:t>
      </w:r>
      <w:r w:rsidRPr="00CF1F54">
        <w:t xml:space="preserve"> </w:t>
      </w:r>
      <w:proofErr w:type="spellStart"/>
      <w:r w:rsidRPr="00CF1F54">
        <w:t>Turabian</w:t>
      </w:r>
      <w:proofErr w:type="spellEnd"/>
      <w:r w:rsidRPr="00CF1F54">
        <w:t xml:space="preserve"> suggests:</w:t>
      </w:r>
    </w:p>
    <w:p w:rsidR="00C6594F" w:rsidRPr="00CF1F54" w:rsidRDefault="00060AD6" w:rsidP="00060AD6">
      <w:pPr>
        <w:spacing w:after="0" w:line="480" w:lineRule="auto"/>
        <w:ind w:left="720"/>
        <w:contextualSpacing/>
      </w:pPr>
      <w:r w:rsidRPr="00CF1F54">
        <w:t>Don’t reject a research question because you think someone must already have asked it. Until you know for sure, pursue its answer as if you asked it first. Even if someone has answered it, you might come up with a better answer or at least one with a new slant.</w:t>
      </w:r>
      <w:r w:rsidRPr="00CF1F54">
        <w:rPr>
          <w:rStyle w:val="FootnoteReference"/>
        </w:rPr>
        <w:footnoteReference w:id="6"/>
      </w:r>
    </w:p>
    <w:p w:rsidR="00250591" w:rsidRPr="00CF1F54" w:rsidRDefault="00250591" w:rsidP="00060AD6">
      <w:pPr>
        <w:spacing w:after="0" w:line="480" w:lineRule="auto"/>
        <w:ind w:left="720"/>
        <w:contextualSpacing/>
      </w:pPr>
    </w:p>
    <w:p w:rsidR="00E75619" w:rsidRPr="00CF1F54" w:rsidRDefault="00250591" w:rsidP="00250591">
      <w:pPr>
        <w:spacing w:after="0" w:line="480" w:lineRule="auto"/>
        <w:rPr>
          <w:b/>
        </w:rPr>
      </w:pPr>
      <w:r w:rsidRPr="00CF1F54">
        <w:rPr>
          <w:b/>
        </w:rPr>
        <w:lastRenderedPageBreak/>
        <w:t>IV.</w:t>
      </w:r>
      <w:r w:rsidRPr="00CF1F54">
        <w:rPr>
          <w:b/>
        </w:rPr>
        <w:tab/>
        <w:t>D</w:t>
      </w:r>
      <w:r w:rsidR="000F675F" w:rsidRPr="00CF1F54">
        <w:rPr>
          <w:b/>
        </w:rPr>
        <w:t xml:space="preserve">eveloping a </w:t>
      </w:r>
      <w:r w:rsidRPr="00CF1F54">
        <w:rPr>
          <w:b/>
        </w:rPr>
        <w:t>research q</w:t>
      </w:r>
      <w:r w:rsidR="000F675F" w:rsidRPr="00CF1F54">
        <w:rPr>
          <w:b/>
        </w:rPr>
        <w:t>uestion</w:t>
      </w:r>
    </w:p>
    <w:p w:rsidR="00250591" w:rsidRPr="00CF1F54" w:rsidRDefault="00E75619" w:rsidP="00250591">
      <w:pPr>
        <w:widowControl w:val="0"/>
        <w:spacing w:after="0" w:line="480" w:lineRule="auto"/>
        <w:ind w:firstLine="720"/>
        <w:contextualSpacing/>
      </w:pPr>
      <w:r w:rsidRPr="00CF1F54">
        <w:t xml:space="preserve">A history paper </w:t>
      </w:r>
      <w:r w:rsidR="00250591" w:rsidRPr="00CF1F54">
        <w:t xml:space="preserve">is not just a report about a </w:t>
      </w:r>
      <w:r w:rsidRPr="00CF1F54">
        <w:t xml:space="preserve">topic. It is not merely </w:t>
      </w:r>
      <w:r w:rsidR="00250591" w:rsidRPr="00CF1F54">
        <w:t>the presentation of</w:t>
      </w:r>
      <w:r w:rsidRPr="00CF1F54">
        <w:t xml:space="preserve"> evidence from sources to construct a narrative about the past. “Historical research,” Jenny </w:t>
      </w:r>
      <w:proofErr w:type="spellStart"/>
      <w:r w:rsidRPr="00CF1F54">
        <w:t>Presnell</w:t>
      </w:r>
      <w:proofErr w:type="spellEnd"/>
      <w:r w:rsidRPr="00CF1F54">
        <w:t xml:space="preserve"> writes, “involves formulating a unique research question and develop</w:t>
      </w:r>
      <w:r w:rsidR="000F675F" w:rsidRPr="00CF1F54">
        <w:t>ing an argument by bui</w:t>
      </w:r>
      <w:r w:rsidRPr="00CF1F54">
        <w:t>lding on others’ research and your primary evidence.”</w:t>
      </w:r>
      <w:r w:rsidR="000F675F" w:rsidRPr="00CF1F54">
        <w:rPr>
          <w:rStyle w:val="FootnoteReference"/>
        </w:rPr>
        <w:footnoteReference w:id="7"/>
      </w:r>
      <w:r w:rsidRPr="00CF1F54">
        <w:t xml:space="preserve"> The trick to history writing is transform</w:t>
      </w:r>
      <w:r w:rsidR="001330DC">
        <w:t>ing</w:t>
      </w:r>
      <w:r w:rsidRPr="00CF1F54">
        <w:t xml:space="preserve"> the evidence at hand (which is at one point </w:t>
      </w:r>
      <w:r w:rsidR="00C72B45">
        <w:t>factual</w:t>
      </w:r>
      <w:r w:rsidRPr="00CF1F54">
        <w:t xml:space="preserve"> information) into </w:t>
      </w:r>
      <w:r w:rsidR="00480EFA" w:rsidRPr="00CF1F54">
        <w:t>a paper that conveys meaningful answers to research questions.</w:t>
      </w:r>
    </w:p>
    <w:p w:rsidR="000F675F" w:rsidRPr="00CF1F54" w:rsidRDefault="000F675F" w:rsidP="003377DF">
      <w:pPr>
        <w:spacing w:after="0" w:line="480" w:lineRule="auto"/>
        <w:ind w:firstLine="720"/>
        <w:contextualSpacing/>
      </w:pPr>
      <w:r w:rsidRPr="00CF1F54">
        <w:t xml:space="preserve">No one enjoys losing an argument. However the history writer must be cautious to distinguish opinion from an argument supported by evidence. Jenny </w:t>
      </w:r>
      <w:proofErr w:type="spellStart"/>
      <w:r w:rsidRPr="00CF1F54">
        <w:t>Presnell’s</w:t>
      </w:r>
      <w:proofErr w:type="spellEnd"/>
      <w:r w:rsidRPr="00CF1F54">
        <w:t xml:space="preserve"> </w:t>
      </w:r>
      <w:r w:rsidRPr="00CF1F54">
        <w:rPr>
          <w:i/>
        </w:rPr>
        <w:t>The Information–Literate Historian</w:t>
      </w:r>
      <w:r w:rsidRPr="00CF1F54">
        <w:t xml:space="preserve"> offers advice about ma</w:t>
      </w:r>
      <w:r w:rsidR="002E5A0B" w:rsidRPr="00CF1F54">
        <w:t>intaining an objective balance:</w:t>
      </w:r>
    </w:p>
    <w:p w:rsidR="00480EFA" w:rsidRPr="00CF1F54" w:rsidRDefault="00480EFA" w:rsidP="003377DF">
      <w:pPr>
        <w:spacing w:after="0"/>
        <w:ind w:left="547" w:right="547"/>
        <w:contextualSpacing/>
      </w:pPr>
      <w:r w:rsidRPr="00CF1F54">
        <w:t>Indeed, you are supposed to present your educated opinion and analysis based on your evidence, but you should avoid deliberately incorporating your own personal biases and judgments into your research. As you think about your paper, consider the three voices in your argument: you, as the author, your readers/audience, and your sources.</w:t>
      </w:r>
      <w:r w:rsidRPr="00CF1F54">
        <w:rPr>
          <w:rStyle w:val="FootnoteReference"/>
        </w:rPr>
        <w:footnoteReference w:id="8"/>
      </w:r>
      <w:r w:rsidRPr="00CF1F54">
        <w:t xml:space="preserve"> True </w:t>
      </w:r>
      <w:proofErr w:type="gramStart"/>
      <w:r w:rsidRPr="00CF1F54">
        <w:t>scholarship considers all opinions, including those critical and counter</w:t>
      </w:r>
      <w:proofErr w:type="gramEnd"/>
      <w:r w:rsidRPr="00CF1F54">
        <w:t xml:space="preserve"> to your conclusion.</w:t>
      </w:r>
      <w:r w:rsidRPr="00CF1F54">
        <w:rPr>
          <w:rStyle w:val="FootnoteReference"/>
        </w:rPr>
        <w:footnoteReference w:id="9"/>
      </w:r>
      <w:r w:rsidRPr="00CF1F54">
        <w:t xml:space="preserve"> If you ignore other historians’ works and primary source evidence that counter your conclusion, your argument is weakened. Good scholarship incorporates them and addresses how and why your argument differs.</w:t>
      </w:r>
      <w:r w:rsidR="000F675F" w:rsidRPr="00CF1F54">
        <w:rPr>
          <w:rStyle w:val="FootnoteReference"/>
        </w:rPr>
        <w:footnoteReference w:id="10"/>
      </w:r>
    </w:p>
    <w:p w:rsidR="00D90BFB" w:rsidRPr="00CF1F54" w:rsidRDefault="00D90BFB" w:rsidP="003377DF">
      <w:pPr>
        <w:spacing w:after="0"/>
        <w:ind w:left="547" w:right="547"/>
        <w:contextualSpacing/>
      </w:pPr>
    </w:p>
    <w:p w:rsidR="00A40526" w:rsidRPr="00CF1F54" w:rsidRDefault="00A40526" w:rsidP="003377DF">
      <w:pPr>
        <w:spacing w:after="0" w:line="480" w:lineRule="auto"/>
        <w:contextualSpacing/>
      </w:pPr>
      <w:r w:rsidRPr="00CF1F54">
        <w:t xml:space="preserve">Although historical interpretation does, to some extent, express opinions, opinions do not require evidence to prove the validity of claims made by the argument. The effective history paper frames an argument about historical events, defines that argument in terms of existing scholarship about the topic, and uses appropriate evidence to support the claims made by the argument. </w:t>
      </w:r>
    </w:p>
    <w:p w:rsidR="00F857F4" w:rsidRPr="00CF1F54" w:rsidRDefault="00F857F4" w:rsidP="003377DF">
      <w:pPr>
        <w:spacing w:after="0" w:line="480" w:lineRule="auto"/>
        <w:contextualSpacing/>
      </w:pPr>
    </w:p>
    <w:p w:rsidR="00941C9F" w:rsidRPr="00CF1F54" w:rsidRDefault="00941C9F">
      <w:pPr>
        <w:rPr>
          <w:b/>
        </w:rPr>
      </w:pPr>
      <w:r w:rsidRPr="00CF1F54">
        <w:rPr>
          <w:b/>
        </w:rPr>
        <w:br w:type="page"/>
      </w:r>
    </w:p>
    <w:p w:rsidR="00E75619" w:rsidRPr="00CF1F54" w:rsidRDefault="00F857F4" w:rsidP="003377DF">
      <w:pPr>
        <w:spacing w:after="0" w:line="480" w:lineRule="auto"/>
        <w:contextualSpacing/>
      </w:pPr>
      <w:r w:rsidRPr="00CF1F54">
        <w:rPr>
          <w:b/>
        </w:rPr>
        <w:lastRenderedPageBreak/>
        <w:t>V.</w:t>
      </w:r>
      <w:r w:rsidRPr="00CF1F54">
        <w:rPr>
          <w:b/>
        </w:rPr>
        <w:tab/>
        <w:t>S</w:t>
      </w:r>
      <w:r w:rsidR="00E75619" w:rsidRPr="00CF1F54">
        <w:rPr>
          <w:b/>
        </w:rPr>
        <w:t>ources</w:t>
      </w:r>
      <w:r w:rsidR="00480EFA" w:rsidRPr="00CF1F54">
        <w:rPr>
          <w:b/>
        </w:rPr>
        <w:t xml:space="preserve"> </w:t>
      </w:r>
    </w:p>
    <w:p w:rsidR="001477FF" w:rsidRPr="00CF1F54" w:rsidRDefault="00ED6461" w:rsidP="003377DF">
      <w:pPr>
        <w:spacing w:after="0" w:line="480" w:lineRule="auto"/>
        <w:ind w:firstLine="720"/>
        <w:contextualSpacing/>
      </w:pPr>
      <w:r>
        <w:t>Consult pages 24–36</w:t>
      </w:r>
      <w:r w:rsidR="000F675F" w:rsidRPr="00CF1F54">
        <w:t xml:space="preserve"> of </w:t>
      </w:r>
      <w:proofErr w:type="spellStart"/>
      <w:r w:rsidR="000F675F" w:rsidRPr="00CF1F54">
        <w:t>Turabian’s</w:t>
      </w:r>
      <w:proofErr w:type="spellEnd"/>
      <w:r w:rsidR="000F675F" w:rsidRPr="00CF1F54">
        <w:t xml:space="preserve"> </w:t>
      </w:r>
      <w:r w:rsidR="000F675F" w:rsidRPr="00CF1F54">
        <w:rPr>
          <w:i/>
        </w:rPr>
        <w:t>Manual</w:t>
      </w:r>
      <w:r w:rsidR="000F675F" w:rsidRPr="00CF1F54">
        <w:t xml:space="preserve"> </w:t>
      </w:r>
      <w:r w:rsidR="002E5A0B" w:rsidRPr="00CF1F54">
        <w:t xml:space="preserve">and your professors </w:t>
      </w:r>
      <w:r w:rsidR="000F675F" w:rsidRPr="00CF1F54">
        <w:t>for advice a</w:t>
      </w:r>
      <w:r w:rsidR="00445CB6" w:rsidRPr="00CF1F54">
        <w:t>bout different kinds of sources for your project. Overall, there are three categories of sources: primary, secondary, and tertiary.</w:t>
      </w:r>
    </w:p>
    <w:p w:rsidR="00C6594F" w:rsidRPr="00CF1F54" w:rsidRDefault="00480EFA" w:rsidP="00F857F4">
      <w:pPr>
        <w:pStyle w:val="ListParagraph"/>
        <w:numPr>
          <w:ilvl w:val="0"/>
          <w:numId w:val="4"/>
        </w:numPr>
        <w:spacing w:after="0" w:line="480" w:lineRule="auto"/>
      </w:pPr>
      <w:r w:rsidRPr="00CF1F54">
        <w:t>Primary sources</w:t>
      </w:r>
      <w:r w:rsidR="002E5A0B" w:rsidRPr="00CF1F54">
        <w:t>—</w:t>
      </w:r>
      <w:r w:rsidRPr="00CF1F54">
        <w:t xml:space="preserve">manuscripts, published sources, archival collections, letters, journals, newspapers, </w:t>
      </w:r>
      <w:r w:rsidR="00F1581D" w:rsidRPr="00CF1F54">
        <w:t xml:space="preserve">oral interviews, </w:t>
      </w:r>
      <w:r w:rsidR="002E5A0B" w:rsidRPr="00CF1F54">
        <w:t>etc.—</w:t>
      </w:r>
      <w:r w:rsidRPr="00CF1F54">
        <w:t>are the evidence that experienced researchers use to support their argument.</w:t>
      </w:r>
      <w:r w:rsidR="00F857F4" w:rsidRPr="00CF1F54">
        <w:t xml:space="preserve"> Primary sources consist of documents and other materials produced at the time and location of the topic being researched; or produced later, or elsewhere, by witnesses; and which are pertinent to the research question under investigation.</w:t>
      </w:r>
    </w:p>
    <w:p w:rsidR="00480EFA" w:rsidRPr="00CF1F54" w:rsidRDefault="00480EFA" w:rsidP="00F857F4">
      <w:pPr>
        <w:pStyle w:val="ListParagraph"/>
        <w:numPr>
          <w:ilvl w:val="0"/>
          <w:numId w:val="4"/>
        </w:numPr>
        <w:spacing w:after="0" w:line="480" w:lineRule="auto"/>
      </w:pPr>
      <w:r w:rsidRPr="00CF1F54">
        <w:t>Secondary</w:t>
      </w:r>
      <w:r w:rsidR="00F857F4" w:rsidRPr="00CF1F54">
        <w:t xml:space="preserve"> sources include</w:t>
      </w:r>
      <w:r w:rsidR="00524F82" w:rsidRPr="00CF1F54">
        <w:t xml:space="preserve"> research monographs, essays, journal articles, dissertations, theses and conference papers that analyze primary sources. As such, they are second closest to the original source. Secondary sources are vital to answering research hypotheses as you will optimally frame your argument in the context of what other historians have written about the topic.</w:t>
      </w:r>
    </w:p>
    <w:p w:rsidR="00524F82" w:rsidRPr="00CF1F54" w:rsidRDefault="00524F82" w:rsidP="00F857F4">
      <w:pPr>
        <w:pStyle w:val="ListParagraph"/>
        <w:numPr>
          <w:ilvl w:val="0"/>
          <w:numId w:val="4"/>
        </w:numPr>
        <w:spacing w:after="0" w:line="480" w:lineRule="auto"/>
      </w:pPr>
      <w:r w:rsidRPr="00CF1F54">
        <w:t>Tertiary sources are reference ma</w:t>
      </w:r>
      <w:r w:rsidR="00F857F4" w:rsidRPr="00CF1F54">
        <w:t>terials such as encyclopedias, textbooks, and</w:t>
      </w:r>
      <w:r w:rsidRPr="00CF1F54">
        <w:t xml:space="preserve"> book reviews. These works generally are written for non-specialists and should never be cited as an authoritative source. The information contained in tertiary sources is generally considered to be common knowledge, which means that you should consult tertiary sources only for informational purposes. You might consider beginning with tertiary sources to accumulate basic </w:t>
      </w:r>
      <w:r w:rsidR="00A40526" w:rsidRPr="00CF1F54">
        <w:t>information</w:t>
      </w:r>
      <w:r w:rsidRPr="00CF1F54">
        <w:t xml:space="preserve"> relative to your topic.</w:t>
      </w:r>
    </w:p>
    <w:p w:rsidR="00F857F4" w:rsidRPr="00CF1F54" w:rsidRDefault="00F857F4" w:rsidP="00F857F4">
      <w:pPr>
        <w:pStyle w:val="ListParagraph"/>
        <w:spacing w:after="0" w:line="480" w:lineRule="auto"/>
      </w:pPr>
    </w:p>
    <w:p w:rsidR="00524F82" w:rsidRPr="00CF1F54" w:rsidRDefault="00445CB6" w:rsidP="003377DF">
      <w:pPr>
        <w:spacing w:after="0" w:line="480" w:lineRule="auto"/>
        <w:ind w:firstLine="720"/>
        <w:contextualSpacing/>
      </w:pPr>
      <w:r w:rsidRPr="00CF1F54">
        <w:t>Although a</w:t>
      </w:r>
      <w:r w:rsidR="00524F82" w:rsidRPr="00CF1F54">
        <w:t xml:space="preserve"> researcher can quickly become overwhelmed by the volume of info</w:t>
      </w:r>
      <w:r w:rsidR="00F857F4" w:rsidRPr="00CF1F54">
        <w:t>rmation and sources uncovered</w:t>
      </w:r>
      <w:r w:rsidR="00524F82" w:rsidRPr="00CF1F54">
        <w:t xml:space="preserve">, you should learn to determine </w:t>
      </w:r>
      <w:r w:rsidR="00A40526" w:rsidRPr="00CF1F54">
        <w:t xml:space="preserve">quickly </w:t>
      </w:r>
      <w:r w:rsidR="00524F82" w:rsidRPr="00CF1F54">
        <w:t>how useful a specific source will be for your research project. Skim the introductions and conclusions of secondary sources to assess their worth (especially once you are comfortable with the basic events relevant to your topic).</w:t>
      </w:r>
    </w:p>
    <w:p w:rsidR="001477FF" w:rsidRPr="00CF1F54" w:rsidRDefault="001477FF" w:rsidP="003377DF">
      <w:pPr>
        <w:spacing w:after="0" w:line="480" w:lineRule="auto"/>
        <w:ind w:firstLine="720"/>
        <w:contextualSpacing/>
      </w:pPr>
      <w:r w:rsidRPr="00CF1F54">
        <w:t xml:space="preserve">You will need to develop precise note-taking methods to record the information found in the sources. Every historian employs a different method and you will have to find a system that works best </w:t>
      </w:r>
      <w:r w:rsidRPr="00CF1F54">
        <w:lastRenderedPageBreak/>
        <w:t xml:space="preserve">for you. Consult your professors for advice about how they digest their sources. Also, </w:t>
      </w:r>
      <w:r w:rsidR="000F675F" w:rsidRPr="00CF1F54">
        <w:t>pages 4</w:t>
      </w:r>
      <w:r w:rsidR="00ED6461">
        <w:t>3</w:t>
      </w:r>
      <w:r w:rsidR="000F675F" w:rsidRPr="00CF1F54">
        <w:t>–</w:t>
      </w:r>
      <w:r w:rsidRPr="00CF1F54">
        <w:t>4</w:t>
      </w:r>
      <w:r w:rsidR="00ED6461">
        <w:t>6</w:t>
      </w:r>
      <w:r w:rsidRPr="00CF1F54">
        <w:t xml:space="preserve"> </w:t>
      </w:r>
      <w:r w:rsidR="000F675F" w:rsidRPr="00CF1F54">
        <w:t xml:space="preserve">of </w:t>
      </w:r>
      <w:proofErr w:type="spellStart"/>
      <w:r w:rsidR="000F675F" w:rsidRPr="00CF1F54">
        <w:t>Turabian’s</w:t>
      </w:r>
      <w:proofErr w:type="spellEnd"/>
      <w:r w:rsidR="000F675F" w:rsidRPr="00CF1F54">
        <w:t xml:space="preserve"> </w:t>
      </w:r>
      <w:r w:rsidR="000F675F" w:rsidRPr="00CF1F54">
        <w:rPr>
          <w:i/>
        </w:rPr>
        <w:t xml:space="preserve">Manual </w:t>
      </w:r>
      <w:r w:rsidR="000F675F" w:rsidRPr="00CF1F54">
        <w:t>suggest</w:t>
      </w:r>
      <w:r w:rsidRPr="00CF1F54">
        <w:t xml:space="preserve"> tips for taking useful notes.</w:t>
      </w:r>
    </w:p>
    <w:p w:rsidR="001477FF" w:rsidRPr="00CF1F54" w:rsidRDefault="001477FF" w:rsidP="003377DF">
      <w:pPr>
        <w:spacing w:after="0" w:line="480" w:lineRule="auto"/>
        <w:ind w:firstLine="720"/>
        <w:contextualSpacing/>
      </w:pPr>
      <w:r w:rsidRPr="00CF1F54">
        <w:t xml:space="preserve">Regardless of your system, be sure to record the words from the sources accurately—take your time and do not misquote. In your notes, record the quote, the source and, if applicable, the page number from the source. </w:t>
      </w:r>
      <w:r w:rsidR="00A40526" w:rsidRPr="00CF1F54">
        <w:t>Attention to detail is vital to streamlining the research process.</w:t>
      </w:r>
    </w:p>
    <w:p w:rsidR="00F857F4" w:rsidRPr="00CF1F54" w:rsidRDefault="00F857F4" w:rsidP="003377DF">
      <w:pPr>
        <w:spacing w:after="0" w:line="480" w:lineRule="auto"/>
        <w:contextualSpacing/>
        <w:rPr>
          <w:b/>
        </w:rPr>
      </w:pPr>
    </w:p>
    <w:p w:rsidR="001477FF" w:rsidRPr="00CF1F54" w:rsidRDefault="00F857F4" w:rsidP="003377DF">
      <w:pPr>
        <w:spacing w:after="0" w:line="480" w:lineRule="auto"/>
        <w:contextualSpacing/>
        <w:rPr>
          <w:b/>
        </w:rPr>
      </w:pPr>
      <w:r w:rsidRPr="00CF1F54">
        <w:rPr>
          <w:b/>
        </w:rPr>
        <w:t>VI.</w:t>
      </w:r>
      <w:r w:rsidRPr="00CF1F54">
        <w:rPr>
          <w:b/>
        </w:rPr>
        <w:tab/>
        <w:t>C</w:t>
      </w:r>
      <w:r w:rsidR="001477FF" w:rsidRPr="00CF1F54">
        <w:rPr>
          <w:b/>
        </w:rPr>
        <w:t>itation</w:t>
      </w:r>
    </w:p>
    <w:p w:rsidR="00445CB6" w:rsidRPr="00CF1F54" w:rsidRDefault="00445CB6" w:rsidP="00445CB6">
      <w:pPr>
        <w:spacing w:after="0" w:line="480" w:lineRule="auto"/>
        <w:ind w:firstLine="720"/>
        <w:contextualSpacing/>
      </w:pPr>
      <w:r w:rsidRPr="00CF1F54">
        <w:t>As a general rule, historians do not use the Modern Language Association (MLA) style, or any other sort of in-text parenthetical citation.</w:t>
      </w:r>
      <w:r w:rsidR="00FF6C3A">
        <w:t xml:space="preserve">  </w:t>
      </w:r>
      <w:r w:rsidRPr="00CF1F54">
        <w:t>Historians usually cite sources through notes, either footnotes or endnotes. A footnote is “a note of reference, explanation, or comment” placed at the bottom of a page of text, while an endnote is the same reference located instead at the end of the paper following the text.</w:t>
      </w:r>
      <w:r w:rsidRPr="00CF1F54">
        <w:rPr>
          <w:vertAlign w:val="superscript"/>
        </w:rPr>
        <w:t xml:space="preserve"> </w:t>
      </w:r>
      <w:r w:rsidRPr="00CF1F54">
        <w:rPr>
          <w:vertAlign w:val="superscript"/>
        </w:rPr>
        <w:footnoteReference w:id="11"/>
      </w:r>
      <w:r w:rsidRPr="00CF1F54">
        <w:t xml:space="preserve"> </w:t>
      </w:r>
    </w:p>
    <w:p w:rsidR="00CB2B94" w:rsidRPr="00CF1F54" w:rsidRDefault="00445CB6" w:rsidP="00CB2B94">
      <w:pPr>
        <w:spacing w:after="0" w:line="480" w:lineRule="auto"/>
        <w:ind w:firstLine="720"/>
        <w:contextualSpacing/>
      </w:pPr>
      <w:r w:rsidRPr="00CF1F54">
        <w:t>Your instructor may specify the use of either footnotes or endnotes. If you have the option of using either, choose one style: do not switch back and forth.</w:t>
      </w:r>
      <w:r w:rsidR="00FF6C3A">
        <w:t xml:space="preserve">  </w:t>
      </w:r>
      <w:r w:rsidR="000A614F">
        <w:t>Failing to consistently use the</w:t>
      </w:r>
      <w:r w:rsidR="00CB2B94" w:rsidRPr="00CF1F54">
        <w:t xml:space="preserve"> correct format for footnotes and bibliographies is one of the basic pitfalls for undergraduate history writers.</w:t>
      </w:r>
    </w:p>
    <w:p w:rsidR="00CB2B94" w:rsidRPr="00CF1F54" w:rsidRDefault="00CB2B94" w:rsidP="00CB2B94">
      <w:pPr>
        <w:spacing w:after="0" w:line="480" w:lineRule="auto"/>
        <w:ind w:firstLine="720"/>
        <w:contextualSpacing/>
      </w:pPr>
      <w:r w:rsidRPr="00CF1F54">
        <w:t>Although bibliogra</w:t>
      </w:r>
      <w:r w:rsidR="000A614F">
        <w:t>phic</w:t>
      </w:r>
      <w:r w:rsidRPr="00CF1F54">
        <w:t xml:space="preserve"> and footnote entries appear remarkably similar, they are quite distinct. Think of bibliographies as the formal entry, which requires periods for punctuation. Footnotes, then, become informal entries, which only use commas and softer punctuation. Remember this distinction and you will more consistently format correctly.</w:t>
      </w:r>
    </w:p>
    <w:p w:rsidR="00445CB6" w:rsidRPr="00CF1F54" w:rsidRDefault="00CB2B94" w:rsidP="00CB2B94">
      <w:pPr>
        <w:spacing w:after="0" w:line="480" w:lineRule="auto"/>
        <w:ind w:firstLine="720"/>
        <w:contextualSpacing/>
      </w:pPr>
      <w:r w:rsidRPr="00CF1F54">
        <w:t>Pages 14</w:t>
      </w:r>
      <w:r w:rsidR="00ED6461">
        <w:t>6–48</w:t>
      </w:r>
      <w:r w:rsidRPr="00CF1F54">
        <w:t xml:space="preserve"> of </w:t>
      </w:r>
      <w:proofErr w:type="spellStart"/>
      <w:r w:rsidRPr="00CF1F54">
        <w:t>Turabian’s</w:t>
      </w:r>
      <w:proofErr w:type="spellEnd"/>
      <w:r w:rsidRPr="00CF1F54">
        <w:t xml:space="preserve"> </w:t>
      </w:r>
      <w:r w:rsidRPr="00CF1F54">
        <w:rPr>
          <w:i/>
        </w:rPr>
        <w:t>Manual</w:t>
      </w:r>
      <w:r w:rsidRPr="00CF1F54">
        <w:t xml:space="preserve"> outline the basic format for footnotes and for bibliographies</w:t>
      </w:r>
      <w:r w:rsidR="000A614F">
        <w:t>.</w:t>
      </w:r>
      <w:r w:rsidRPr="00CF1F54">
        <w:t xml:space="preserve"> Pages 1</w:t>
      </w:r>
      <w:r w:rsidR="00ED6461">
        <w:t>50</w:t>
      </w:r>
      <w:r w:rsidRPr="00CF1F54">
        <w:t>–</w:t>
      </w:r>
      <w:r w:rsidR="00ED6461">
        <w:t>55</w:t>
      </w:r>
      <w:r w:rsidRPr="00CF1F54">
        <w:t xml:space="preserve"> cover assorted kinds of bibliographic entries. Pages 15</w:t>
      </w:r>
      <w:r w:rsidR="00ED6461">
        <w:t>5</w:t>
      </w:r>
      <w:r w:rsidRPr="00CF1F54">
        <w:t>–</w:t>
      </w:r>
      <w:r w:rsidR="00ED6461">
        <w:t>63</w:t>
      </w:r>
      <w:r w:rsidRPr="00CF1F54">
        <w:t xml:space="preserve"> of the </w:t>
      </w:r>
      <w:r w:rsidRPr="00CF1F54">
        <w:rPr>
          <w:i/>
        </w:rPr>
        <w:t xml:space="preserve">Manual </w:t>
      </w:r>
      <w:r w:rsidRPr="00CF1F54">
        <w:t>also provide decent examples of the difference between footnotes and bibliography entries. Consult these pages frequently (especially pages 14</w:t>
      </w:r>
      <w:r w:rsidR="00ED6461">
        <w:t>6</w:t>
      </w:r>
      <w:r w:rsidRPr="00CF1F54">
        <w:t>–4</w:t>
      </w:r>
      <w:r w:rsidR="00ED6461">
        <w:t>8</w:t>
      </w:r>
      <w:r w:rsidRPr="00CF1F54">
        <w:t>) until you are an expert.</w:t>
      </w:r>
    </w:p>
    <w:p w:rsidR="00CB2B94" w:rsidRPr="00CF1F54" w:rsidRDefault="00CB2B94" w:rsidP="00445CB6">
      <w:pPr>
        <w:spacing w:after="0" w:line="480" w:lineRule="auto"/>
        <w:ind w:firstLine="720"/>
        <w:contextualSpacing/>
      </w:pPr>
    </w:p>
    <w:p w:rsidR="00445CB6" w:rsidRPr="00CF1F54" w:rsidRDefault="00445CB6" w:rsidP="00445CB6">
      <w:pPr>
        <w:spacing w:after="0" w:line="480" w:lineRule="auto"/>
        <w:ind w:firstLine="720"/>
        <w:contextualSpacing/>
      </w:pPr>
      <w:r w:rsidRPr="00CF1F54">
        <w:lastRenderedPageBreak/>
        <w:t xml:space="preserve">This section </w:t>
      </w:r>
      <w:r w:rsidR="00CB2B94" w:rsidRPr="00CF1F54">
        <w:t xml:space="preserve">of the guide </w:t>
      </w:r>
      <w:r w:rsidRPr="00CF1F54">
        <w:t>will provide examples of common types</w:t>
      </w:r>
      <w:r w:rsidR="00941C9F" w:rsidRPr="00CF1F54">
        <w:t xml:space="preserve"> of this citation style</w:t>
      </w:r>
      <w:r w:rsidRPr="00CF1F54">
        <w:t xml:space="preserve">, but it is not meant to replace the use of </w:t>
      </w:r>
      <w:proofErr w:type="spellStart"/>
      <w:r w:rsidRPr="00CF1F54">
        <w:t>Turabian</w:t>
      </w:r>
      <w:proofErr w:type="spellEnd"/>
      <w:r w:rsidRPr="00CF1F54">
        <w:t xml:space="preserve"> as a style guide.</w:t>
      </w:r>
      <w:r w:rsidR="00FF6C3A">
        <w:t xml:space="preserve">  </w:t>
      </w:r>
      <w:r w:rsidRPr="00CF1F54">
        <w:t xml:space="preserve">Here are examples of how to format the citation of: </w:t>
      </w:r>
    </w:p>
    <w:p w:rsidR="00445CB6" w:rsidRPr="00CF1F54" w:rsidRDefault="00445CB6" w:rsidP="00941C9F">
      <w:pPr>
        <w:pStyle w:val="ListParagraph"/>
        <w:numPr>
          <w:ilvl w:val="1"/>
          <w:numId w:val="6"/>
        </w:numPr>
        <w:spacing w:after="0" w:line="480" w:lineRule="auto"/>
      </w:pPr>
      <w:r w:rsidRPr="00CF1F54">
        <w:t>a scholarly monograph</w:t>
      </w:r>
      <w:r w:rsidR="00941C9F" w:rsidRPr="00CF1F54">
        <w:t>,</w:t>
      </w:r>
      <w:r w:rsidRPr="00CF1F54">
        <w:rPr>
          <w:vertAlign w:val="superscript"/>
        </w:rPr>
        <w:footnoteReference w:id="12"/>
      </w:r>
      <w:r w:rsidRPr="00CF1F54">
        <w:t xml:space="preserve"> </w:t>
      </w:r>
    </w:p>
    <w:p w:rsidR="00445CB6" w:rsidRPr="00CF1F54" w:rsidRDefault="008C32A2" w:rsidP="00941C9F">
      <w:pPr>
        <w:pStyle w:val="ListParagraph"/>
        <w:numPr>
          <w:ilvl w:val="1"/>
          <w:numId w:val="6"/>
        </w:numPr>
        <w:spacing w:after="0" w:line="480" w:lineRule="auto"/>
      </w:pPr>
      <w:r>
        <w:t>an article</w:t>
      </w:r>
      <w:r w:rsidR="00445CB6" w:rsidRPr="00CF1F54">
        <w:t xml:space="preserve"> in an academic journal</w:t>
      </w:r>
      <w:r w:rsidR="00941C9F" w:rsidRPr="00CF1F54">
        <w:t>,</w:t>
      </w:r>
      <w:r w:rsidR="00445CB6" w:rsidRPr="00CF1F54">
        <w:rPr>
          <w:vertAlign w:val="superscript"/>
        </w:rPr>
        <w:footnoteReference w:id="13"/>
      </w:r>
      <w:r w:rsidR="00445CB6" w:rsidRPr="00CF1F54">
        <w:t xml:space="preserve"> </w:t>
      </w:r>
    </w:p>
    <w:p w:rsidR="00941C9F" w:rsidRPr="00CF1F54" w:rsidRDefault="000A614F" w:rsidP="00941C9F">
      <w:pPr>
        <w:pStyle w:val="ListParagraph"/>
        <w:numPr>
          <w:ilvl w:val="1"/>
          <w:numId w:val="6"/>
        </w:numPr>
        <w:spacing w:after="0" w:line="480" w:lineRule="auto"/>
      </w:pPr>
      <w:r>
        <w:t>a newspaper article</w:t>
      </w:r>
      <w:r w:rsidR="00941C9F" w:rsidRPr="00CF1F54">
        <w:t>,</w:t>
      </w:r>
      <w:r w:rsidR="00445CB6" w:rsidRPr="00CF1F54">
        <w:rPr>
          <w:vertAlign w:val="superscript"/>
        </w:rPr>
        <w:footnoteReference w:id="14"/>
      </w:r>
      <w:r w:rsidR="00FF6C3A">
        <w:t xml:space="preserve">  </w:t>
      </w:r>
    </w:p>
    <w:p w:rsidR="00941C9F" w:rsidRPr="00CF1F54" w:rsidRDefault="00941C9F" w:rsidP="00941C9F">
      <w:pPr>
        <w:pStyle w:val="ListParagraph"/>
        <w:numPr>
          <w:ilvl w:val="1"/>
          <w:numId w:val="6"/>
        </w:numPr>
        <w:spacing w:after="0" w:line="480" w:lineRule="auto"/>
      </w:pPr>
      <w:r w:rsidRPr="00CF1F54">
        <w:t>a published government record,</w:t>
      </w:r>
      <w:r w:rsidR="00445CB6" w:rsidRPr="00CF1F54">
        <w:rPr>
          <w:vertAlign w:val="superscript"/>
        </w:rPr>
        <w:footnoteReference w:id="15"/>
      </w:r>
      <w:r w:rsidR="00445CB6" w:rsidRPr="00CF1F54">
        <w:t xml:space="preserve"> </w:t>
      </w:r>
    </w:p>
    <w:p w:rsidR="00941C9F" w:rsidRPr="00CF1F54" w:rsidRDefault="00941C9F" w:rsidP="00941C9F">
      <w:pPr>
        <w:pStyle w:val="ListParagraph"/>
        <w:numPr>
          <w:ilvl w:val="1"/>
          <w:numId w:val="6"/>
        </w:numPr>
        <w:spacing w:after="0" w:line="480" w:lineRule="auto"/>
      </w:pPr>
      <w:r w:rsidRPr="00CF1F54">
        <w:t xml:space="preserve">an </w:t>
      </w:r>
      <w:r w:rsidR="00445CB6" w:rsidRPr="00CF1F54">
        <w:t>unpublished</w:t>
      </w:r>
      <w:r w:rsidRPr="00CF1F54">
        <w:t xml:space="preserve"> government record,</w:t>
      </w:r>
      <w:r w:rsidR="00445CB6" w:rsidRPr="00CF1F54">
        <w:rPr>
          <w:vertAlign w:val="superscript"/>
        </w:rPr>
        <w:footnoteReference w:id="16"/>
      </w:r>
      <w:r w:rsidR="00445CB6" w:rsidRPr="00CF1F54">
        <w:t xml:space="preserve"> </w:t>
      </w:r>
    </w:p>
    <w:p w:rsidR="00941C9F" w:rsidRPr="00CF1F54" w:rsidRDefault="00941C9F" w:rsidP="00941C9F">
      <w:pPr>
        <w:pStyle w:val="ListParagraph"/>
        <w:numPr>
          <w:ilvl w:val="1"/>
          <w:numId w:val="6"/>
        </w:numPr>
        <w:spacing w:after="0" w:line="480" w:lineRule="auto"/>
      </w:pPr>
      <w:r w:rsidRPr="00CF1F54">
        <w:t>a published political speech</w:t>
      </w:r>
      <w:r w:rsidR="00445CB6" w:rsidRPr="00CF1F54">
        <w:t>;</w:t>
      </w:r>
      <w:r w:rsidR="00445CB6" w:rsidRPr="00CF1F54">
        <w:rPr>
          <w:vertAlign w:val="superscript"/>
        </w:rPr>
        <w:footnoteReference w:id="17"/>
      </w:r>
      <w:r w:rsidR="00445CB6" w:rsidRPr="00CF1F54">
        <w:t xml:space="preserve"> </w:t>
      </w:r>
    </w:p>
    <w:p w:rsidR="00941C9F" w:rsidRPr="00CF1F54" w:rsidRDefault="00941C9F" w:rsidP="00941C9F">
      <w:pPr>
        <w:pStyle w:val="ListParagraph"/>
        <w:numPr>
          <w:ilvl w:val="1"/>
          <w:numId w:val="6"/>
        </w:numPr>
        <w:spacing w:after="0" w:line="480" w:lineRule="auto"/>
      </w:pPr>
      <w:r w:rsidRPr="00CF1F54">
        <w:t>court proceedings;</w:t>
      </w:r>
      <w:r w:rsidR="00445CB6" w:rsidRPr="00CF1F54">
        <w:rPr>
          <w:vertAlign w:val="superscript"/>
        </w:rPr>
        <w:footnoteReference w:id="18"/>
      </w:r>
      <w:r w:rsidR="00445CB6" w:rsidRPr="00CF1F54">
        <w:t xml:space="preserve"> </w:t>
      </w:r>
    </w:p>
    <w:p w:rsidR="00941C9F" w:rsidRPr="00CF1F54" w:rsidRDefault="00941C9F" w:rsidP="00941C9F">
      <w:pPr>
        <w:pStyle w:val="ListParagraph"/>
        <w:numPr>
          <w:ilvl w:val="1"/>
          <w:numId w:val="6"/>
        </w:numPr>
        <w:spacing w:after="0" w:line="480" w:lineRule="auto"/>
      </w:pPr>
      <w:r w:rsidRPr="00CF1F54">
        <w:t>a</w:t>
      </w:r>
      <w:r w:rsidR="00445CB6" w:rsidRPr="00CF1F54">
        <w:t xml:space="preserve"> personal letter</w:t>
      </w:r>
      <w:r w:rsidRPr="00CF1F54">
        <w:t>;</w:t>
      </w:r>
      <w:r w:rsidR="00445CB6" w:rsidRPr="00CF1F54">
        <w:rPr>
          <w:vertAlign w:val="superscript"/>
        </w:rPr>
        <w:footnoteReference w:id="19"/>
      </w:r>
      <w:r w:rsidR="00445CB6" w:rsidRPr="00CF1F54">
        <w:t xml:space="preserve"> </w:t>
      </w:r>
    </w:p>
    <w:p w:rsidR="00941C9F" w:rsidRPr="00CF1F54" w:rsidRDefault="008C32A2" w:rsidP="00941C9F">
      <w:pPr>
        <w:pStyle w:val="ListParagraph"/>
        <w:numPr>
          <w:ilvl w:val="1"/>
          <w:numId w:val="6"/>
        </w:numPr>
        <w:spacing w:after="0" w:line="480" w:lineRule="auto"/>
      </w:pPr>
      <w:r>
        <w:t>an oral interview</w:t>
      </w:r>
      <w:r w:rsidR="00941C9F" w:rsidRPr="00CF1F54">
        <w:t>;</w:t>
      </w:r>
      <w:r w:rsidR="00445CB6" w:rsidRPr="00CF1F54">
        <w:rPr>
          <w:vertAlign w:val="superscript"/>
        </w:rPr>
        <w:footnoteReference w:id="20"/>
      </w:r>
      <w:r w:rsidR="00FF6C3A">
        <w:t xml:space="preserve">  </w:t>
      </w:r>
    </w:p>
    <w:p w:rsidR="00941C9F" w:rsidRPr="00CF1F54" w:rsidRDefault="00941C9F" w:rsidP="00941C9F">
      <w:pPr>
        <w:pStyle w:val="ListParagraph"/>
        <w:numPr>
          <w:ilvl w:val="1"/>
          <w:numId w:val="6"/>
        </w:numPr>
        <w:spacing w:after="0" w:line="480" w:lineRule="auto"/>
      </w:pPr>
      <w:r w:rsidRPr="00CF1F54">
        <w:t>a collection</w:t>
      </w:r>
      <w:r w:rsidR="00445CB6" w:rsidRPr="00CF1F54">
        <w:t xml:space="preserve"> of essays by several authors assembled o</w:t>
      </w:r>
      <w:r w:rsidRPr="00CF1F54">
        <w:t>r edited by one or more of them;</w:t>
      </w:r>
      <w:r w:rsidR="00445CB6" w:rsidRPr="00CF1F54">
        <w:rPr>
          <w:vertAlign w:val="superscript"/>
        </w:rPr>
        <w:footnoteReference w:id="21"/>
      </w:r>
      <w:r w:rsidR="00445CB6" w:rsidRPr="00CF1F54">
        <w:t xml:space="preserve"> </w:t>
      </w:r>
    </w:p>
    <w:p w:rsidR="00941C9F" w:rsidRPr="00CF1F54" w:rsidRDefault="00941C9F" w:rsidP="00941C9F">
      <w:pPr>
        <w:pStyle w:val="ListParagraph"/>
        <w:numPr>
          <w:ilvl w:val="1"/>
          <w:numId w:val="6"/>
        </w:numPr>
        <w:spacing w:after="0" w:line="480" w:lineRule="auto"/>
      </w:pPr>
      <w:r w:rsidRPr="00CF1F54">
        <w:t>one essay in such a volume;</w:t>
      </w:r>
      <w:r w:rsidR="00445CB6" w:rsidRPr="00CF1F54">
        <w:rPr>
          <w:vertAlign w:val="superscript"/>
        </w:rPr>
        <w:footnoteReference w:id="22"/>
      </w:r>
      <w:r w:rsidR="00445CB6" w:rsidRPr="00CF1F54">
        <w:t xml:space="preserve"> </w:t>
      </w:r>
    </w:p>
    <w:p w:rsidR="00941C9F" w:rsidRPr="00CF1F54" w:rsidRDefault="00941C9F" w:rsidP="00941C9F">
      <w:pPr>
        <w:pStyle w:val="ListParagraph"/>
        <w:numPr>
          <w:ilvl w:val="1"/>
          <w:numId w:val="6"/>
        </w:numPr>
        <w:spacing w:after="0" w:line="480" w:lineRule="auto"/>
      </w:pPr>
      <w:r w:rsidRPr="00CF1F54">
        <w:lastRenderedPageBreak/>
        <w:t xml:space="preserve">an </w:t>
      </w:r>
      <w:r w:rsidR="00445CB6" w:rsidRPr="00CF1F54">
        <w:t>encyclopedia article</w:t>
      </w:r>
      <w:r w:rsidRPr="00CF1F54">
        <w:t>;</w:t>
      </w:r>
      <w:r w:rsidR="00445CB6" w:rsidRPr="00CF1F54">
        <w:rPr>
          <w:vertAlign w:val="superscript"/>
        </w:rPr>
        <w:footnoteReference w:id="23"/>
      </w:r>
      <w:r w:rsidR="00445CB6" w:rsidRPr="00CF1F54">
        <w:t xml:space="preserve"> </w:t>
      </w:r>
    </w:p>
    <w:p w:rsidR="00941C9F" w:rsidRPr="00CF1F54" w:rsidRDefault="00941C9F" w:rsidP="00941C9F">
      <w:pPr>
        <w:pStyle w:val="ListParagraph"/>
        <w:numPr>
          <w:ilvl w:val="1"/>
          <w:numId w:val="6"/>
        </w:numPr>
        <w:spacing w:after="0" w:line="480" w:lineRule="auto"/>
      </w:pPr>
      <w:r w:rsidRPr="00CF1F54">
        <w:t>a book review</w:t>
      </w:r>
      <w:r w:rsidR="00445CB6" w:rsidRPr="00CF1F54">
        <w:t>,</w:t>
      </w:r>
      <w:r w:rsidR="00445CB6" w:rsidRPr="00CF1F54">
        <w:rPr>
          <w:vertAlign w:val="superscript"/>
        </w:rPr>
        <w:footnoteReference w:id="24"/>
      </w:r>
      <w:r w:rsidR="00445CB6" w:rsidRPr="00CF1F54">
        <w:t xml:space="preserve"> </w:t>
      </w:r>
    </w:p>
    <w:p w:rsidR="00941C9F" w:rsidRPr="00CF1F54" w:rsidRDefault="00445CB6" w:rsidP="00941C9F">
      <w:pPr>
        <w:pStyle w:val="ListParagraph"/>
        <w:numPr>
          <w:ilvl w:val="1"/>
          <w:numId w:val="6"/>
        </w:numPr>
        <w:spacing w:after="0" w:line="480" w:lineRule="auto"/>
      </w:pPr>
      <w:proofErr w:type="gramStart"/>
      <w:r w:rsidRPr="00CF1F54">
        <w:t>the</w:t>
      </w:r>
      <w:proofErr w:type="gramEnd"/>
      <w:r w:rsidRPr="00CF1F54">
        <w:t xml:space="preserve"> Internet (though one should exercise extreme caution with the Internet, as there is much more trash than treasure in it).</w:t>
      </w:r>
      <w:r w:rsidRPr="00CF1F54">
        <w:rPr>
          <w:vertAlign w:val="superscript"/>
        </w:rPr>
        <w:footnoteReference w:id="25"/>
      </w:r>
      <w:r w:rsidR="00FF6C3A">
        <w:t xml:space="preserve">  </w:t>
      </w:r>
    </w:p>
    <w:p w:rsidR="00445CB6" w:rsidRPr="00CF1F54" w:rsidRDefault="00445CB6" w:rsidP="00941C9F">
      <w:pPr>
        <w:spacing w:after="0" w:line="480" w:lineRule="auto"/>
        <w:contextualSpacing/>
      </w:pPr>
      <w:r w:rsidRPr="00CF1F54">
        <w:t xml:space="preserve">The notes used to illustrate the foregoing categories are all given in the forms used for </w:t>
      </w:r>
      <w:r w:rsidRPr="00CF1F54">
        <w:rPr>
          <w:i/>
          <w:iCs/>
        </w:rPr>
        <w:t xml:space="preserve">initial </w:t>
      </w:r>
      <w:r w:rsidRPr="00CF1F54">
        <w:t xml:space="preserve">citation. </w:t>
      </w:r>
      <w:r w:rsidRPr="00CF1F54">
        <w:rPr>
          <w:i/>
          <w:iCs/>
        </w:rPr>
        <w:t xml:space="preserve">Subsequent </w:t>
      </w:r>
      <w:r w:rsidRPr="00CF1F54">
        <w:t>citations to the same sources should be given in abbreviated forms.</w:t>
      </w:r>
      <w:r w:rsidR="00FF6C3A">
        <w:t xml:space="preserve">  </w:t>
      </w:r>
      <w:r w:rsidRPr="00CF1F54">
        <w:t xml:space="preserve">For the second and subsequent references to an author represented in your notes by a </w:t>
      </w:r>
      <w:r w:rsidRPr="00CF1F54">
        <w:rPr>
          <w:i/>
          <w:iCs/>
        </w:rPr>
        <w:t>single title</w:t>
      </w:r>
      <w:r w:rsidRPr="00CF1F54">
        <w:t>, supply his or her last name, an abbreviated form of the title of his or her work, and the relevant page number(s).</w:t>
      </w:r>
      <w:r w:rsidRPr="00CF1F54">
        <w:rPr>
          <w:vertAlign w:val="superscript"/>
        </w:rPr>
        <w:footnoteReference w:id="26"/>
      </w:r>
      <w:r w:rsidR="00FF6C3A">
        <w:t xml:space="preserve">  </w:t>
      </w:r>
      <w:r w:rsidRPr="00CF1F54">
        <w:t xml:space="preserve">You may encounter, and may have used in the past, the Latin abbreviation </w:t>
      </w:r>
      <w:r w:rsidRPr="00CF1F54">
        <w:rPr>
          <w:i/>
        </w:rPr>
        <w:t>Ibid.</w:t>
      </w:r>
      <w:r w:rsidRPr="00CF1F54">
        <w:t xml:space="preserve"> to indicate immediately subsequent references to a source, but this is antiquated and quickly falling out of favor.</w:t>
      </w:r>
      <w:r w:rsidR="00FF6C3A">
        <w:t xml:space="preserve">  </w:t>
      </w:r>
      <w:r w:rsidRPr="00CF1F54">
        <w:t xml:space="preserve">It can make revision confusing when moving chunks of text around using the highly convenient “cut and paste” function of computer word processing programs. </w:t>
      </w:r>
    </w:p>
    <w:p w:rsidR="00445CB6" w:rsidRPr="00CF1F54" w:rsidRDefault="00445CB6" w:rsidP="00445CB6">
      <w:pPr>
        <w:spacing w:after="0" w:line="480" w:lineRule="auto"/>
        <w:contextualSpacing/>
      </w:pPr>
      <w:r w:rsidRPr="00CF1F54">
        <w:tab/>
        <w:t>An important facet to the use of footnotes is not simply to show the reader that you have consulted a source for information that confirms a statement of fact or of opinion, but to show that you have understood the sources you have consulted.</w:t>
      </w:r>
      <w:r w:rsidR="00FF6C3A">
        <w:t xml:space="preserve">  </w:t>
      </w:r>
      <w:r w:rsidRPr="00CF1F54">
        <w:t>It is considered good form to bolster your statements with multiple citations, which demonstrates thoroughness in your research.</w:t>
      </w:r>
      <w:r w:rsidR="00FF6C3A">
        <w:t xml:space="preserve">  </w:t>
      </w:r>
      <w:r w:rsidRPr="00CF1F54">
        <w:t>At times you may find it especially useful to mix primary and secondary sources in a note, though whether you should do this or not is circumstantially dependent.</w:t>
      </w:r>
      <w:r w:rsidRPr="00CF1F54">
        <w:rPr>
          <w:vertAlign w:val="superscript"/>
        </w:rPr>
        <w:footnoteReference w:id="27"/>
      </w:r>
      <w:r w:rsidR="00FF6C3A">
        <w:t xml:space="preserve">  </w:t>
      </w:r>
      <w:r w:rsidRPr="00CF1F54">
        <w:t xml:space="preserve">Particularly with regard to statements of opinion or interpretation, it is doubly important to make at least a couple of references to primary and/or secondary sources that </w:t>
      </w:r>
      <w:r w:rsidRPr="00CF1F54">
        <w:lastRenderedPageBreak/>
        <w:t>buttress your point.</w:t>
      </w:r>
      <w:r w:rsidR="00FF6C3A">
        <w:t xml:space="preserve">  </w:t>
      </w:r>
      <w:r w:rsidRPr="00CF1F54">
        <w:t>It is also prudent, when dealing with an assertion that is opposed to other interpretations, to acknowledge the difference of opinion in the note, which insulates you from an accusation that you have ignored contradictory evidence or the works of your colleagues.</w:t>
      </w:r>
      <w:r w:rsidR="00FF6C3A">
        <w:t xml:space="preserve">  </w:t>
      </w:r>
      <w:r w:rsidRPr="00CF1F54">
        <w:t>Some historians are fond of lengthy citations from numerous sources, but depending on the circumstance it can either be informative or pedantic—in fact quite tedious.</w:t>
      </w:r>
      <w:r w:rsidR="00FF6C3A">
        <w:t xml:space="preserve">  </w:t>
      </w:r>
      <w:r w:rsidRPr="00CF1F54">
        <w:t>Historians occasionally use footnotes to carry on academic feuds, though it is always the best form to let your work speak for itself without stooping to genteel insults.</w:t>
      </w:r>
      <w:r w:rsidRPr="00CF1F54">
        <w:rPr>
          <w:vertAlign w:val="superscript"/>
        </w:rPr>
        <w:footnoteReference w:id="28"/>
      </w:r>
      <w:r w:rsidR="00FF6C3A">
        <w:t xml:space="preserve">  </w:t>
      </w:r>
      <w:r w:rsidRPr="00CF1F54">
        <w:t>At this stage of your career it is unlikely that you will be offering a novel interpretation of your subject, so your notes will consist essentially of source citations and bibliographic references.</w:t>
      </w:r>
    </w:p>
    <w:p w:rsidR="00123350" w:rsidRPr="00CF1F54" w:rsidRDefault="00445CB6" w:rsidP="00445CB6">
      <w:pPr>
        <w:spacing w:after="0" w:line="480" w:lineRule="auto"/>
        <w:contextualSpacing/>
      </w:pPr>
      <w:r w:rsidRPr="00CF1F54">
        <w:tab/>
        <w:t xml:space="preserve">A special note to students using any of the texts in the </w:t>
      </w:r>
      <w:r w:rsidRPr="00CF1F54">
        <w:rPr>
          <w:i/>
        </w:rPr>
        <w:t>Major Problems in History</w:t>
      </w:r>
      <w:r w:rsidRPr="00CF1F54">
        <w:t xml:space="preserve"> </w:t>
      </w:r>
      <w:r w:rsidR="008C32A2">
        <w:t xml:space="preserve">or other similar </w:t>
      </w:r>
      <w:r w:rsidRPr="00CF1F54">
        <w:t>series: citing these books poses a challenge, as the primary source documents rarely bear their original titles, but rather titles conferred by the editor(s), while the secondary source excerpts usually do not retain their original titles, either.</w:t>
      </w:r>
      <w:r w:rsidR="00FF6C3A">
        <w:t xml:space="preserve">  </w:t>
      </w:r>
      <w:r w:rsidR="008C32A2">
        <w:t>For regular undergraduate papers, c</w:t>
      </w:r>
      <w:r w:rsidRPr="00CF1F54">
        <w:t>ite them in footnotes this way, while listing the book in the bib</w:t>
      </w:r>
      <w:r w:rsidR="00123350" w:rsidRPr="00CF1F54">
        <w:t xml:space="preserve">liography as a secondary source: </w:t>
      </w:r>
    </w:p>
    <w:p w:rsidR="00445CB6" w:rsidRDefault="00123350" w:rsidP="00123350">
      <w:pPr>
        <w:spacing w:after="0" w:line="480" w:lineRule="auto"/>
        <w:ind w:firstLine="720"/>
        <w:contextualSpacing/>
      </w:pPr>
      <w:r w:rsidRPr="00CF1F54">
        <w:t xml:space="preserve">Glenn Quagmire, “Griffin Peterson Founds Quahog,” in Peter Griffin and Lois Griffin, eds., </w:t>
      </w:r>
      <w:r w:rsidRPr="00CF1F54">
        <w:rPr>
          <w:i/>
        </w:rPr>
        <w:t>Major Problems in the History of Quahog</w:t>
      </w:r>
      <w:r w:rsidRPr="00CF1F54">
        <w:t>, 3</w:t>
      </w:r>
      <w:r w:rsidRPr="00CF1F54">
        <w:rPr>
          <w:vertAlign w:val="superscript"/>
        </w:rPr>
        <w:t>rd</w:t>
      </w:r>
      <w:r w:rsidRPr="00CF1F54">
        <w:t xml:space="preserve"> ed. (Boston: New England Press, 2010), 45-57.</w:t>
      </w:r>
    </w:p>
    <w:p w:rsidR="008C32A2" w:rsidRPr="00CF1F54" w:rsidRDefault="008C32A2" w:rsidP="008C32A2">
      <w:pPr>
        <w:spacing w:after="0" w:line="480" w:lineRule="auto"/>
        <w:contextualSpacing/>
      </w:pPr>
      <w:r>
        <w:t>Please be aware that for honor’s theses and graduate work, this simplified format may not be acceptable.</w:t>
      </w:r>
    </w:p>
    <w:p w:rsidR="00445CB6" w:rsidRPr="00CF1F54" w:rsidRDefault="00445CB6" w:rsidP="00445CB6">
      <w:pPr>
        <w:spacing w:after="0" w:line="480" w:lineRule="auto"/>
        <w:contextualSpacing/>
      </w:pPr>
      <w:r w:rsidRPr="00CF1F54">
        <w:tab/>
        <w:t>Finally, your paper should have a good title.</w:t>
      </w:r>
      <w:r w:rsidR="00FF6C3A">
        <w:t xml:space="preserve">  </w:t>
      </w:r>
      <w:r w:rsidR="008C32A2">
        <w:t>In some disciplines such as</w:t>
      </w:r>
      <w:r w:rsidRPr="00CF1F54">
        <w:t xml:space="preserve"> mathematics or one of the sciences it is simply impractical or impossible to title works in any other way than a bare description of what they are about.</w:t>
      </w:r>
      <w:r w:rsidR="00FF6C3A">
        <w:t xml:space="preserve">  </w:t>
      </w:r>
      <w:r w:rsidRPr="00CF1F54">
        <w:t>“Development of a Quantitative Method for Functional Gene Detection in Pulp and Paper Wastewater Treatment Systems” is a perfect example.</w:t>
      </w:r>
      <w:r w:rsidR="00FF6C3A">
        <w:t xml:space="preserve">  </w:t>
      </w:r>
      <w:r w:rsidRPr="00CF1F54">
        <w:t xml:space="preserve">However, in history we have the luxury—one shared with other Humanities disciplines—of being able to title our papers more creatively </w:t>
      </w:r>
      <w:r w:rsidRPr="00CF1F54">
        <w:lastRenderedPageBreak/>
        <w:t>without sacrificing the necessary summary aspects that paper, article, and book titles must have.</w:t>
      </w:r>
      <w:r w:rsidR="00FF6C3A">
        <w:t xml:space="preserve">  </w:t>
      </w:r>
      <w:r w:rsidRPr="00CF1F54">
        <w:t>A catchy title seizes the reader’s attention and can convey a sense of the author’s enthusiasm for the topic, but it should never be used as a smokescreen to conceal a poorly conceived and/or poorly written paper.</w:t>
      </w:r>
      <w:r w:rsidR="00FF6C3A">
        <w:t xml:space="preserve">  </w:t>
      </w:r>
      <w:r w:rsidRPr="00CF1F54">
        <w:t>A method widely used among historians, is to begin with a primary source quotation that encapsulates the work’s subject, followed by a more formal and specific subtitle.</w:t>
      </w:r>
      <w:r w:rsidR="00FF6C3A">
        <w:t xml:space="preserve">  </w:t>
      </w:r>
      <w:r w:rsidRPr="00CF1F54">
        <w:t>A paper on marital affection in seventeenth-century New England would do well to incorporate a line from one of Anne Bradstreet’s poems, “If ever two were one, then surely we.”</w:t>
      </w:r>
      <w:r w:rsidR="00FF6C3A">
        <w:t xml:space="preserve">  </w:t>
      </w:r>
      <w:r w:rsidRPr="00CF1F54">
        <w:t>One could simply title the paper “Marital Affection in Seventeenth-Century New England,” which is simple and accurately conveys the paper’s subject, but</w:t>
      </w:r>
      <w:r w:rsidR="008C32A2">
        <w:t xml:space="preserve"> is not be as eye-catching as “‘</w:t>
      </w:r>
      <w:r w:rsidRPr="00CF1F54">
        <w:t>If Ever Two Were One, Then Surely We’: Marital Affection in Seventeenth-Century New England.”</w:t>
      </w:r>
      <w:r w:rsidR="00FF6C3A">
        <w:t xml:space="preserve">  </w:t>
      </w:r>
    </w:p>
    <w:p w:rsidR="000F675F" w:rsidRPr="00CF1F54" w:rsidRDefault="00445CB6" w:rsidP="003377DF">
      <w:pPr>
        <w:spacing w:after="0" w:line="480" w:lineRule="auto"/>
        <w:contextualSpacing/>
      </w:pPr>
      <w:r w:rsidRPr="00CF1F54">
        <w:tab/>
        <w:t xml:space="preserve">Appended to all term papers should be a bibliography listing </w:t>
      </w:r>
      <w:r w:rsidRPr="00CF1F54">
        <w:rPr>
          <w:i/>
          <w:iCs/>
        </w:rPr>
        <w:t xml:space="preserve">all </w:t>
      </w:r>
      <w:r w:rsidRPr="00CF1F54">
        <w:t>sources cited in its preparation.</w:t>
      </w:r>
      <w:r w:rsidR="00FF6C3A">
        <w:t xml:space="preserve">  </w:t>
      </w:r>
      <w:r w:rsidRPr="00CF1F54">
        <w:t>T</w:t>
      </w:r>
      <w:r w:rsidR="008C32A2">
        <w:t>he forms used in bibliographic</w:t>
      </w:r>
      <w:r w:rsidRPr="00CF1F54">
        <w:t xml:space="preserve"> listings differ somewhat from those used in footnotes.</w:t>
      </w:r>
      <w:r w:rsidR="00FF6C3A">
        <w:t xml:space="preserve">  </w:t>
      </w:r>
      <w:r w:rsidR="008C32A2">
        <w:t>The main difference</w:t>
      </w:r>
      <w:r w:rsidRPr="00CF1F54">
        <w:t xml:space="preserve"> </w:t>
      </w:r>
      <w:r w:rsidR="008C32A2">
        <w:t xml:space="preserve">is that the </w:t>
      </w:r>
      <w:r w:rsidRPr="00CF1F54">
        <w:t>last names of authors are listed first, in alphabetical</w:t>
      </w:r>
      <w:r w:rsidR="008C32A2">
        <w:t xml:space="preserve"> order, followed by given names</w:t>
      </w:r>
      <w:r w:rsidRPr="00CF1F54">
        <w:t>.</w:t>
      </w:r>
      <w:r w:rsidR="00FF6C3A">
        <w:t xml:space="preserve">  </w:t>
      </w:r>
      <w:r w:rsidRPr="00CF1F54">
        <w:t>Also, page numbers for books are omitted, but included for articles</w:t>
      </w:r>
      <w:r w:rsidR="004D3402" w:rsidRPr="00CF1F54">
        <w:t xml:space="preserve"> and book chapters</w:t>
      </w:r>
      <w:r w:rsidRPr="00CF1F54">
        <w:t>.</w:t>
      </w:r>
      <w:r w:rsidR="00FF6C3A">
        <w:t xml:space="preserve">  </w:t>
      </w:r>
      <w:r w:rsidRPr="00CF1F54">
        <w:t xml:space="preserve">It is enough to list all sources in alphabetical order by authors’ last names or, when no author is named, by the first letter of the title (excluding </w:t>
      </w:r>
      <w:r w:rsidRPr="00CF1F54">
        <w:rPr>
          <w:i/>
          <w:iCs/>
        </w:rPr>
        <w:t>a</w:t>
      </w:r>
      <w:r w:rsidRPr="00CF1F54">
        <w:t xml:space="preserve">, </w:t>
      </w:r>
      <w:r w:rsidRPr="00CF1F54">
        <w:rPr>
          <w:i/>
          <w:iCs/>
        </w:rPr>
        <w:t>an</w:t>
      </w:r>
      <w:r w:rsidRPr="00CF1F54">
        <w:t xml:space="preserve">, and </w:t>
      </w:r>
      <w:r w:rsidRPr="00CF1F54">
        <w:rPr>
          <w:i/>
          <w:iCs/>
        </w:rPr>
        <w:t>the</w:t>
      </w:r>
      <w:r w:rsidRPr="00CF1F54">
        <w:t>).</w:t>
      </w:r>
      <w:r w:rsidR="00FF6C3A">
        <w:t xml:space="preserve">  </w:t>
      </w:r>
    </w:p>
    <w:p w:rsidR="004D3402" w:rsidRPr="00CF1F54" w:rsidRDefault="004D3402" w:rsidP="003377DF">
      <w:pPr>
        <w:spacing w:after="0" w:line="480" w:lineRule="auto"/>
        <w:contextualSpacing/>
      </w:pPr>
      <w:r w:rsidRPr="00CF1F54">
        <w:tab/>
        <w:t xml:space="preserve">This guide includes an example of a bibliography, but it is not intended to replace </w:t>
      </w:r>
      <w:proofErr w:type="spellStart"/>
      <w:r w:rsidRPr="00CF1F54">
        <w:rPr>
          <w:i/>
        </w:rPr>
        <w:t>Turabian</w:t>
      </w:r>
      <w:proofErr w:type="spellEnd"/>
      <w:r w:rsidRPr="00CF1F54">
        <w:t xml:space="preserve"> as a style guide.</w:t>
      </w:r>
    </w:p>
    <w:p w:rsidR="004D3402" w:rsidRPr="00CF1F54" w:rsidRDefault="004D3402">
      <w:r w:rsidRPr="00CF1F54">
        <w:br w:type="page"/>
      </w:r>
    </w:p>
    <w:p w:rsidR="004D3402" w:rsidRPr="004D3402" w:rsidRDefault="004D3402" w:rsidP="004D3402">
      <w:pPr>
        <w:autoSpaceDE w:val="0"/>
        <w:autoSpaceDN w:val="0"/>
        <w:adjustRightInd w:val="0"/>
        <w:spacing w:after="240"/>
        <w:ind w:left="720" w:hanging="720"/>
        <w:jc w:val="center"/>
        <w:rPr>
          <w:rFonts w:eastAsia="Times New Roman"/>
          <w:b/>
          <w:bCs/>
        </w:rPr>
      </w:pPr>
      <w:r w:rsidRPr="004D3402">
        <w:rPr>
          <w:rFonts w:eastAsia="Times New Roman"/>
          <w:b/>
          <w:bCs/>
        </w:rPr>
        <w:lastRenderedPageBreak/>
        <w:t>BIBLIOGRAPHY</w:t>
      </w:r>
    </w:p>
    <w:p w:rsidR="004D3402" w:rsidRPr="004D3402" w:rsidRDefault="004D3402" w:rsidP="004D3402">
      <w:pPr>
        <w:autoSpaceDE w:val="0"/>
        <w:autoSpaceDN w:val="0"/>
        <w:adjustRightInd w:val="0"/>
        <w:spacing w:after="240"/>
        <w:ind w:left="720" w:hanging="720"/>
        <w:rPr>
          <w:rFonts w:eastAsia="Times New Roman"/>
          <w:b/>
        </w:rPr>
      </w:pPr>
      <w:r w:rsidRPr="004D3402">
        <w:rPr>
          <w:rFonts w:eastAsia="Times New Roman"/>
          <w:b/>
        </w:rPr>
        <w:t>Primary Sources</w:t>
      </w:r>
    </w:p>
    <w:p w:rsidR="004D3402" w:rsidRPr="004D3402" w:rsidRDefault="004D3402" w:rsidP="004D3402">
      <w:pPr>
        <w:autoSpaceDE w:val="0"/>
        <w:autoSpaceDN w:val="0"/>
        <w:adjustRightInd w:val="0"/>
        <w:spacing w:after="240"/>
        <w:ind w:left="720" w:hanging="720"/>
        <w:rPr>
          <w:rFonts w:eastAsia="Times New Roman"/>
        </w:rPr>
      </w:pPr>
      <w:proofErr w:type="gramStart"/>
      <w:r w:rsidRPr="004D3402">
        <w:rPr>
          <w:rFonts w:eastAsia="Times New Roman"/>
        </w:rPr>
        <w:t>Vito Corleone Papers.</w:t>
      </w:r>
      <w:proofErr w:type="gramEnd"/>
      <w:r w:rsidR="00FF6C3A">
        <w:rPr>
          <w:rFonts w:eastAsia="Times New Roman"/>
        </w:rPr>
        <w:t xml:space="preserve">  </w:t>
      </w:r>
      <w:proofErr w:type="gramStart"/>
      <w:r w:rsidR="008C32A2">
        <w:rPr>
          <w:rFonts w:eastAsia="Times New Roman"/>
        </w:rPr>
        <w:t xml:space="preserve">New </w:t>
      </w:r>
      <w:r w:rsidRPr="004D3402">
        <w:rPr>
          <w:rFonts w:eastAsia="Times New Roman"/>
        </w:rPr>
        <w:t>York Historical Society.</w:t>
      </w:r>
      <w:proofErr w:type="gramEnd"/>
      <w:r w:rsidR="00FF6C3A">
        <w:rPr>
          <w:rFonts w:eastAsia="Times New Roman"/>
        </w:rPr>
        <w:t xml:space="preserve">  </w:t>
      </w:r>
      <w:r w:rsidRPr="004D3402">
        <w:rPr>
          <w:rFonts w:eastAsia="Times New Roman"/>
        </w:rPr>
        <w:t>New York, New York.</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Dante, Silvio.</w:t>
      </w:r>
      <w:r w:rsidR="00FF6C3A">
        <w:rPr>
          <w:rFonts w:eastAsia="Times New Roman"/>
        </w:rPr>
        <w:t xml:space="preserve">  </w:t>
      </w:r>
      <w:proofErr w:type="gramStart"/>
      <w:r w:rsidRPr="004D3402">
        <w:rPr>
          <w:rFonts w:eastAsia="Times New Roman"/>
        </w:rPr>
        <w:t>Interview by author, 23 September 2002, Newark.</w:t>
      </w:r>
      <w:proofErr w:type="gramEnd"/>
      <w:r w:rsidR="00FF6C3A">
        <w:rPr>
          <w:rFonts w:eastAsia="Times New Roman"/>
        </w:rPr>
        <w:t xml:space="preserve">  </w:t>
      </w:r>
      <w:proofErr w:type="gramStart"/>
      <w:r w:rsidRPr="004D3402">
        <w:rPr>
          <w:rFonts w:eastAsia="Times New Roman"/>
        </w:rPr>
        <w:t>Tape Recording.</w:t>
      </w:r>
      <w:proofErr w:type="gramEnd"/>
    </w:p>
    <w:p w:rsidR="004D3402" w:rsidRPr="004D3402" w:rsidRDefault="004D3402" w:rsidP="004D3402">
      <w:pPr>
        <w:autoSpaceDE w:val="0"/>
        <w:autoSpaceDN w:val="0"/>
        <w:adjustRightInd w:val="0"/>
        <w:spacing w:after="240"/>
        <w:ind w:left="720" w:hanging="720"/>
        <w:rPr>
          <w:rFonts w:eastAsia="Times New Roman"/>
        </w:rPr>
      </w:pPr>
      <w:proofErr w:type="spellStart"/>
      <w:r w:rsidRPr="004D3402">
        <w:rPr>
          <w:rFonts w:eastAsia="Times New Roman"/>
        </w:rPr>
        <w:t>Hutz</w:t>
      </w:r>
      <w:proofErr w:type="spellEnd"/>
      <w:r w:rsidRPr="004D3402">
        <w:rPr>
          <w:rFonts w:eastAsia="Times New Roman"/>
        </w:rPr>
        <w:t xml:space="preserve">, Lionel, </w:t>
      </w:r>
      <w:proofErr w:type="gramStart"/>
      <w:r w:rsidRPr="004D3402">
        <w:rPr>
          <w:rFonts w:eastAsia="Times New Roman"/>
        </w:rPr>
        <w:t>ed</w:t>
      </w:r>
      <w:proofErr w:type="gramEnd"/>
      <w:r w:rsidRPr="004D3402">
        <w:rPr>
          <w:rFonts w:eastAsia="Times New Roman"/>
        </w:rPr>
        <w:t>.</w:t>
      </w:r>
      <w:r w:rsidR="00FF6C3A">
        <w:rPr>
          <w:rFonts w:eastAsia="Times New Roman"/>
        </w:rPr>
        <w:t xml:space="preserve">  </w:t>
      </w:r>
      <w:proofErr w:type="gramStart"/>
      <w:r w:rsidRPr="004D3402">
        <w:rPr>
          <w:rFonts w:eastAsia="Times New Roman"/>
          <w:i/>
        </w:rPr>
        <w:t>Records of the Trial of “Fat Tony” D’Amico</w:t>
      </w:r>
      <w:r w:rsidRPr="004D3402">
        <w:rPr>
          <w:rFonts w:eastAsia="Times New Roman"/>
        </w:rPr>
        <w:t>.</w:t>
      </w:r>
      <w:proofErr w:type="gramEnd"/>
      <w:r w:rsidR="00FF6C3A">
        <w:rPr>
          <w:rFonts w:eastAsia="Times New Roman"/>
        </w:rPr>
        <w:t xml:space="preserve">  </w:t>
      </w:r>
      <w:r w:rsidRPr="004D3402">
        <w:rPr>
          <w:rFonts w:eastAsia="Times New Roman"/>
        </w:rPr>
        <w:t>Capital City: Capital Press, 2009.</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Lovejoy, Rev. Timothy.</w:t>
      </w:r>
      <w:r w:rsidR="00FF6C3A">
        <w:rPr>
          <w:rFonts w:eastAsia="Times New Roman"/>
        </w:rPr>
        <w:t xml:space="preserve">  </w:t>
      </w:r>
      <w:proofErr w:type="gramStart"/>
      <w:r w:rsidRPr="004D3402">
        <w:rPr>
          <w:rFonts w:eastAsia="Times New Roman"/>
          <w:i/>
          <w:iCs/>
        </w:rPr>
        <w:t>The Early Theological Writings of Rev. Timothy Lovejoy</w:t>
      </w:r>
      <w:r w:rsidRPr="004D3402">
        <w:rPr>
          <w:rFonts w:eastAsia="Times New Roman"/>
        </w:rPr>
        <w:t>.</w:t>
      </w:r>
      <w:proofErr w:type="gramEnd"/>
      <w:r w:rsidR="00FF6C3A">
        <w:rPr>
          <w:rFonts w:eastAsia="Times New Roman"/>
        </w:rPr>
        <w:t xml:space="preserve">  </w:t>
      </w:r>
      <w:r w:rsidRPr="004D3402">
        <w:rPr>
          <w:rFonts w:eastAsia="Times New Roman"/>
        </w:rPr>
        <w:t>Ned Flanders, ed. Springfield:</w:t>
      </w:r>
      <w:r w:rsidR="008C32A2">
        <w:rPr>
          <w:rFonts w:eastAsia="Times New Roman"/>
        </w:rPr>
        <w:t xml:space="preserve"> </w:t>
      </w:r>
      <w:r w:rsidRPr="004D3402">
        <w:rPr>
          <w:rFonts w:eastAsia="Times New Roman"/>
        </w:rPr>
        <w:t>Springfield University Press, 1999.</w:t>
      </w:r>
    </w:p>
    <w:p w:rsidR="004D3402" w:rsidRPr="004D3402" w:rsidRDefault="004D3402" w:rsidP="004D3402">
      <w:pPr>
        <w:autoSpaceDE w:val="0"/>
        <w:autoSpaceDN w:val="0"/>
        <w:adjustRightInd w:val="0"/>
        <w:spacing w:after="240"/>
        <w:ind w:left="720" w:hanging="720"/>
        <w:rPr>
          <w:rFonts w:eastAsia="Times New Roman"/>
        </w:rPr>
      </w:pPr>
      <w:proofErr w:type="gramStart"/>
      <w:r w:rsidRPr="004D3402">
        <w:rPr>
          <w:rFonts w:eastAsia="Times New Roman"/>
        </w:rPr>
        <w:t xml:space="preserve">Joseph </w:t>
      </w:r>
      <w:proofErr w:type="spellStart"/>
      <w:r w:rsidRPr="004D3402">
        <w:rPr>
          <w:rFonts w:eastAsia="Times New Roman"/>
        </w:rPr>
        <w:t>Quimby</w:t>
      </w:r>
      <w:proofErr w:type="spellEnd"/>
      <w:r w:rsidRPr="004D3402">
        <w:rPr>
          <w:rFonts w:eastAsia="Times New Roman"/>
        </w:rPr>
        <w:t xml:space="preserve"> Papers.</w:t>
      </w:r>
      <w:proofErr w:type="gramEnd"/>
      <w:r w:rsidR="00FF6C3A">
        <w:rPr>
          <w:rFonts w:eastAsia="Times New Roman"/>
        </w:rPr>
        <w:t xml:space="preserve">  </w:t>
      </w:r>
      <w:r w:rsidRPr="004D3402">
        <w:rPr>
          <w:rFonts w:eastAsia="Times New Roman"/>
        </w:rPr>
        <w:t>Springfield Historical Society, Springfield.</w:t>
      </w:r>
    </w:p>
    <w:p w:rsidR="004D3402" w:rsidRPr="004D3402" w:rsidRDefault="004D3402" w:rsidP="004D3402">
      <w:pPr>
        <w:autoSpaceDE w:val="0"/>
        <w:autoSpaceDN w:val="0"/>
        <w:adjustRightInd w:val="0"/>
        <w:spacing w:after="240"/>
        <w:ind w:left="720" w:hanging="720"/>
        <w:rPr>
          <w:rFonts w:eastAsia="Times New Roman"/>
        </w:rPr>
      </w:pPr>
      <w:proofErr w:type="spellStart"/>
      <w:r w:rsidRPr="004D3402">
        <w:rPr>
          <w:rFonts w:eastAsia="Times New Roman"/>
        </w:rPr>
        <w:t>Quimby</w:t>
      </w:r>
      <w:proofErr w:type="spellEnd"/>
      <w:r w:rsidRPr="004D3402">
        <w:rPr>
          <w:rFonts w:eastAsia="Times New Roman"/>
        </w:rPr>
        <w:t>, Joseph.</w:t>
      </w:r>
      <w:r w:rsidR="00FF6C3A">
        <w:rPr>
          <w:rFonts w:eastAsia="Times New Roman"/>
        </w:rPr>
        <w:t xml:space="preserve">  </w:t>
      </w:r>
      <w:r w:rsidRPr="004D3402">
        <w:rPr>
          <w:rFonts w:eastAsia="Times New Roman"/>
          <w:i/>
          <w:iCs/>
        </w:rPr>
        <w:t xml:space="preserve">The Stump Speeches of Mayor “Diamond” Joseph </w:t>
      </w:r>
      <w:proofErr w:type="spellStart"/>
      <w:r w:rsidRPr="004D3402">
        <w:rPr>
          <w:rFonts w:eastAsia="Times New Roman"/>
          <w:i/>
          <w:iCs/>
        </w:rPr>
        <w:t>Quimby</w:t>
      </w:r>
      <w:proofErr w:type="spellEnd"/>
      <w:r w:rsidRPr="004D3402">
        <w:rPr>
          <w:rFonts w:eastAsia="Times New Roman"/>
          <w:i/>
          <w:iCs/>
        </w:rPr>
        <w:t>, 1990-2000</w:t>
      </w:r>
      <w:r w:rsidRPr="004D3402">
        <w:rPr>
          <w:rFonts w:eastAsia="Times New Roman"/>
        </w:rPr>
        <w:t xml:space="preserve">, Waylon Smithers, </w:t>
      </w:r>
      <w:proofErr w:type="gramStart"/>
      <w:r w:rsidRPr="004D3402">
        <w:rPr>
          <w:rFonts w:eastAsia="Times New Roman"/>
        </w:rPr>
        <w:t>ed</w:t>
      </w:r>
      <w:proofErr w:type="gramEnd"/>
      <w:r w:rsidRPr="004D3402">
        <w:rPr>
          <w:rFonts w:eastAsia="Times New Roman"/>
        </w:rPr>
        <w:t>.</w:t>
      </w:r>
      <w:r w:rsidR="00FF6C3A">
        <w:rPr>
          <w:rFonts w:eastAsia="Times New Roman"/>
        </w:rPr>
        <w:t xml:space="preserve">  </w:t>
      </w:r>
      <w:r w:rsidRPr="004D3402">
        <w:rPr>
          <w:rFonts w:eastAsia="Times New Roman"/>
        </w:rPr>
        <w:t>Springfield: Springfield University Press, 2001.</w:t>
      </w:r>
    </w:p>
    <w:p w:rsidR="004D3402" w:rsidRPr="004D3402" w:rsidRDefault="004D3402" w:rsidP="004D3402">
      <w:pPr>
        <w:autoSpaceDE w:val="0"/>
        <w:autoSpaceDN w:val="0"/>
        <w:adjustRightInd w:val="0"/>
        <w:spacing w:after="240"/>
        <w:ind w:left="720" w:hanging="720"/>
        <w:rPr>
          <w:rFonts w:eastAsia="Times New Roman"/>
        </w:rPr>
      </w:pPr>
      <w:proofErr w:type="gramStart"/>
      <w:r w:rsidRPr="004D3402">
        <w:rPr>
          <w:rFonts w:eastAsia="Times New Roman"/>
        </w:rPr>
        <w:t>Springfield Digital Library Manuscript Collection.</w:t>
      </w:r>
      <w:proofErr w:type="gramEnd"/>
      <w:r w:rsidR="00FF6C3A">
        <w:rPr>
          <w:rFonts w:eastAsia="Times New Roman"/>
        </w:rPr>
        <w:t xml:space="preserve">  </w:t>
      </w:r>
      <w:proofErr w:type="gramStart"/>
      <w:r w:rsidRPr="004D3402">
        <w:rPr>
          <w:rFonts w:eastAsia="Times New Roman"/>
        </w:rPr>
        <w:t>“</w:t>
      </w:r>
      <w:proofErr w:type="spellStart"/>
      <w:r w:rsidRPr="004D3402">
        <w:rPr>
          <w:rFonts w:eastAsia="Times New Roman"/>
        </w:rPr>
        <w:t>Jebediah</w:t>
      </w:r>
      <w:proofErr w:type="spellEnd"/>
      <w:r w:rsidRPr="004D3402">
        <w:rPr>
          <w:rFonts w:eastAsia="Times New Roman"/>
        </w:rPr>
        <w:t xml:space="preserve"> Springfield and the Founding of Springfield.”</w:t>
      </w:r>
      <w:proofErr w:type="gramEnd"/>
      <w:r w:rsidR="008C32A2">
        <w:rPr>
          <w:rFonts w:eastAsia="Times New Roman"/>
        </w:rPr>
        <w:t xml:space="preserve"> </w:t>
      </w:r>
      <w:r w:rsidRPr="004D3402">
        <w:rPr>
          <w:rFonts w:eastAsia="Times New Roman"/>
        </w:rPr>
        <w:t>&lt;http://www.springfield.com/history/js/founding.html&gt;.</w:t>
      </w:r>
    </w:p>
    <w:p w:rsidR="004D3402" w:rsidRPr="004D3402" w:rsidRDefault="004D3402" w:rsidP="004D3402">
      <w:pPr>
        <w:autoSpaceDE w:val="0"/>
        <w:autoSpaceDN w:val="0"/>
        <w:adjustRightInd w:val="0"/>
        <w:spacing w:after="240"/>
        <w:ind w:left="720" w:hanging="720"/>
        <w:rPr>
          <w:rFonts w:eastAsia="Times New Roman"/>
        </w:rPr>
      </w:pPr>
    </w:p>
    <w:p w:rsidR="004D3402" w:rsidRPr="004D3402" w:rsidRDefault="004D3402" w:rsidP="004D3402">
      <w:pPr>
        <w:autoSpaceDE w:val="0"/>
        <w:autoSpaceDN w:val="0"/>
        <w:adjustRightInd w:val="0"/>
        <w:spacing w:after="240"/>
        <w:ind w:left="720" w:hanging="720"/>
        <w:rPr>
          <w:rFonts w:eastAsia="Times New Roman"/>
          <w:b/>
        </w:rPr>
      </w:pPr>
      <w:r w:rsidRPr="004D3402">
        <w:rPr>
          <w:rFonts w:eastAsia="Times New Roman"/>
          <w:b/>
        </w:rPr>
        <w:t>Secondary Sources</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Batali, Mario.</w:t>
      </w:r>
      <w:r w:rsidR="00FF6C3A">
        <w:rPr>
          <w:rFonts w:eastAsia="Times New Roman"/>
        </w:rPr>
        <w:t xml:space="preserve">  </w:t>
      </w:r>
      <w:proofErr w:type="gramStart"/>
      <w:r w:rsidRPr="004D3402">
        <w:rPr>
          <w:rFonts w:eastAsia="Times New Roman"/>
          <w:i/>
        </w:rPr>
        <w:t>Southern Italian Cuisine</w:t>
      </w:r>
      <w:r w:rsidRPr="004D3402">
        <w:rPr>
          <w:rFonts w:eastAsia="Times New Roman"/>
        </w:rPr>
        <w:t>.</w:t>
      </w:r>
      <w:proofErr w:type="gramEnd"/>
      <w:r w:rsidR="00FF6C3A">
        <w:rPr>
          <w:rFonts w:eastAsia="Times New Roman"/>
        </w:rPr>
        <w:t xml:space="preserve">  </w:t>
      </w:r>
      <w:r w:rsidRPr="004D3402">
        <w:rPr>
          <w:rFonts w:eastAsia="Times New Roman"/>
        </w:rPr>
        <w:t>New York: Vintage Books, 2003.</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Flintstone, Wilma.</w:t>
      </w:r>
      <w:r w:rsidR="00FF6C3A">
        <w:rPr>
          <w:rFonts w:eastAsia="Times New Roman"/>
        </w:rPr>
        <w:t xml:space="preserve">  </w:t>
      </w:r>
      <w:proofErr w:type="gramStart"/>
      <w:r w:rsidRPr="004D3402">
        <w:rPr>
          <w:rFonts w:eastAsia="Times New Roman"/>
        </w:rPr>
        <w:t xml:space="preserve">“Preparing Brontosaurus Ribs,” in Alex </w:t>
      </w:r>
      <w:proofErr w:type="spellStart"/>
      <w:r w:rsidRPr="004D3402">
        <w:rPr>
          <w:rFonts w:eastAsia="Times New Roman"/>
        </w:rPr>
        <w:t>Rothrock</w:t>
      </w:r>
      <w:proofErr w:type="spellEnd"/>
      <w:r w:rsidRPr="004D3402">
        <w:rPr>
          <w:rFonts w:eastAsia="Times New Roman"/>
        </w:rPr>
        <w:t xml:space="preserve">, ed. </w:t>
      </w:r>
      <w:r w:rsidRPr="004D3402">
        <w:rPr>
          <w:rFonts w:eastAsia="Times New Roman"/>
          <w:i/>
          <w:iCs/>
        </w:rPr>
        <w:t>Stone Age Cuisine</w:t>
      </w:r>
      <w:r w:rsidRPr="004D3402">
        <w:rPr>
          <w:rFonts w:eastAsia="Times New Roman"/>
        </w:rPr>
        <w:t>.</w:t>
      </w:r>
      <w:proofErr w:type="gramEnd"/>
      <w:r w:rsidR="00FF6C3A">
        <w:rPr>
          <w:rFonts w:eastAsia="Times New Roman"/>
        </w:rPr>
        <w:t xml:space="preserve">  </w:t>
      </w:r>
      <w:r w:rsidRPr="004D3402">
        <w:rPr>
          <w:rFonts w:eastAsia="Times New Roman"/>
        </w:rPr>
        <w:t>Bedrock: Bedrock Free Press, 1965.</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 xml:space="preserve">Peter Griffin and Lois Griffin, </w:t>
      </w:r>
      <w:proofErr w:type="gramStart"/>
      <w:r w:rsidRPr="004D3402">
        <w:rPr>
          <w:rFonts w:eastAsia="Times New Roman"/>
        </w:rPr>
        <w:t>eds</w:t>
      </w:r>
      <w:proofErr w:type="gramEnd"/>
      <w:r w:rsidRPr="004D3402">
        <w:rPr>
          <w:rFonts w:eastAsia="Times New Roman"/>
        </w:rPr>
        <w:t>.</w:t>
      </w:r>
      <w:r w:rsidR="00FF6C3A">
        <w:rPr>
          <w:rFonts w:eastAsia="Times New Roman"/>
        </w:rPr>
        <w:t xml:space="preserve">  </w:t>
      </w:r>
      <w:r w:rsidRPr="004D3402">
        <w:rPr>
          <w:rFonts w:eastAsia="Times New Roman"/>
          <w:i/>
        </w:rPr>
        <w:t>Major Problems in the History of Quahog</w:t>
      </w:r>
      <w:r w:rsidRPr="004D3402">
        <w:rPr>
          <w:rFonts w:eastAsia="Times New Roman"/>
        </w:rPr>
        <w:t>, 3</w:t>
      </w:r>
      <w:r w:rsidRPr="004D3402">
        <w:rPr>
          <w:rFonts w:eastAsia="Times New Roman"/>
          <w:vertAlign w:val="superscript"/>
        </w:rPr>
        <w:t>rd</w:t>
      </w:r>
      <w:r w:rsidRPr="004D3402">
        <w:rPr>
          <w:rFonts w:eastAsia="Times New Roman"/>
        </w:rPr>
        <w:t xml:space="preserve"> </w:t>
      </w:r>
      <w:proofErr w:type="gramStart"/>
      <w:r w:rsidRPr="004D3402">
        <w:rPr>
          <w:rFonts w:eastAsia="Times New Roman"/>
        </w:rPr>
        <w:t>ed</w:t>
      </w:r>
      <w:proofErr w:type="gramEnd"/>
      <w:r w:rsidRPr="004D3402">
        <w:rPr>
          <w:rFonts w:eastAsia="Times New Roman"/>
        </w:rPr>
        <w:t>.</w:t>
      </w:r>
      <w:r w:rsidR="00FF6C3A">
        <w:rPr>
          <w:rFonts w:eastAsia="Times New Roman"/>
        </w:rPr>
        <w:t xml:space="preserve">  </w:t>
      </w:r>
      <w:r w:rsidRPr="004D3402">
        <w:rPr>
          <w:rFonts w:eastAsia="Times New Roman"/>
        </w:rPr>
        <w:t>Boston: Houghton Mifflin Co., 2010.</w:t>
      </w:r>
    </w:p>
    <w:p w:rsidR="004D3402" w:rsidRPr="004D3402" w:rsidRDefault="004D3402" w:rsidP="004D3402">
      <w:pPr>
        <w:autoSpaceDE w:val="0"/>
        <w:autoSpaceDN w:val="0"/>
        <w:adjustRightInd w:val="0"/>
        <w:spacing w:after="240"/>
        <w:ind w:left="720" w:hanging="720"/>
        <w:rPr>
          <w:rFonts w:eastAsia="Times New Roman"/>
        </w:rPr>
      </w:pPr>
      <w:proofErr w:type="spellStart"/>
      <w:r w:rsidRPr="004D3402">
        <w:rPr>
          <w:rFonts w:eastAsia="Times New Roman"/>
        </w:rPr>
        <w:t>Lacerva</w:t>
      </w:r>
      <w:proofErr w:type="spellEnd"/>
      <w:r w:rsidRPr="004D3402">
        <w:rPr>
          <w:rFonts w:eastAsia="Times New Roman"/>
        </w:rPr>
        <w:t>, Adriana.</w:t>
      </w:r>
      <w:r w:rsidR="00FF6C3A">
        <w:rPr>
          <w:rFonts w:eastAsia="Times New Roman"/>
        </w:rPr>
        <w:t xml:space="preserve">  </w:t>
      </w:r>
      <w:r w:rsidRPr="004D3402">
        <w:rPr>
          <w:rFonts w:eastAsia="Times New Roman"/>
          <w:i/>
          <w:iCs/>
        </w:rPr>
        <w:t xml:space="preserve">Why Cook When You Can Eat Out? </w:t>
      </w:r>
      <w:r w:rsidRPr="004D3402">
        <w:rPr>
          <w:rFonts w:eastAsia="Times New Roman"/>
        </w:rPr>
        <w:t>Paramus, N.J.: Paramus Press, 2001.</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 xml:space="preserve">Simpson, Homer J., </w:t>
      </w:r>
      <w:proofErr w:type="gramStart"/>
      <w:r w:rsidRPr="004D3402">
        <w:rPr>
          <w:rFonts w:eastAsia="Times New Roman"/>
        </w:rPr>
        <w:t>ed</w:t>
      </w:r>
      <w:proofErr w:type="gramEnd"/>
      <w:r w:rsidRPr="004D3402">
        <w:rPr>
          <w:rFonts w:eastAsia="Times New Roman"/>
        </w:rPr>
        <w:t>.</w:t>
      </w:r>
      <w:r w:rsidR="00FF6C3A">
        <w:rPr>
          <w:rFonts w:eastAsia="Times New Roman"/>
        </w:rPr>
        <w:t xml:space="preserve">  </w:t>
      </w:r>
      <w:r w:rsidRPr="004D3402">
        <w:rPr>
          <w:rFonts w:eastAsia="Times New Roman"/>
          <w:i/>
          <w:iCs/>
        </w:rPr>
        <w:t>Ned Flanders is an Annoying Person</w:t>
      </w:r>
      <w:r w:rsidRPr="004D3402">
        <w:rPr>
          <w:rFonts w:eastAsia="Times New Roman"/>
        </w:rPr>
        <w:t>.</w:t>
      </w:r>
      <w:r w:rsidR="00FF6C3A">
        <w:rPr>
          <w:rFonts w:eastAsia="Times New Roman"/>
        </w:rPr>
        <w:t xml:space="preserve">  </w:t>
      </w:r>
      <w:r w:rsidRPr="004D3402">
        <w:rPr>
          <w:rFonts w:eastAsia="Times New Roman"/>
        </w:rPr>
        <w:t>Springfield: Springfield University Press, 1993.</w:t>
      </w:r>
    </w:p>
    <w:p w:rsidR="004D3402" w:rsidRPr="004D3402" w:rsidRDefault="00CB2B94" w:rsidP="004D3402">
      <w:pPr>
        <w:autoSpaceDE w:val="0"/>
        <w:autoSpaceDN w:val="0"/>
        <w:adjustRightInd w:val="0"/>
        <w:spacing w:after="240"/>
        <w:ind w:left="720" w:hanging="720"/>
        <w:rPr>
          <w:rFonts w:eastAsia="Times New Roman"/>
        </w:rPr>
      </w:pPr>
      <w:r w:rsidRPr="00CF1F54">
        <w:rPr>
          <w:rFonts w:eastAsia="Times New Roman"/>
        </w:rPr>
        <w:t>_____</w:t>
      </w:r>
      <w:r w:rsidR="004D3402" w:rsidRPr="004D3402">
        <w:rPr>
          <w:rFonts w:eastAsia="Times New Roman"/>
        </w:rPr>
        <w:t>.</w:t>
      </w:r>
      <w:r w:rsidR="00FF6C3A">
        <w:rPr>
          <w:rFonts w:eastAsia="Times New Roman"/>
        </w:rPr>
        <w:t xml:space="preserve">  </w:t>
      </w:r>
      <w:r w:rsidR="004D3402" w:rsidRPr="004D3402">
        <w:rPr>
          <w:rFonts w:eastAsia="Times New Roman"/>
          <w:i/>
          <w:iCs/>
        </w:rPr>
        <w:t>Frosted Donuts and the Nuclear Power Plant Safety Inspector</w:t>
      </w:r>
      <w:r w:rsidR="004D3402" w:rsidRPr="004D3402">
        <w:rPr>
          <w:rFonts w:eastAsia="Times New Roman"/>
        </w:rPr>
        <w:t>.</w:t>
      </w:r>
      <w:r w:rsidR="00FF6C3A">
        <w:rPr>
          <w:rFonts w:eastAsia="Times New Roman"/>
        </w:rPr>
        <w:t xml:space="preserve">  </w:t>
      </w:r>
      <w:r w:rsidR="004D3402" w:rsidRPr="004D3402">
        <w:rPr>
          <w:rFonts w:eastAsia="Times New Roman"/>
        </w:rPr>
        <w:t>Springfield: Springfield University Press, 1998.</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 xml:space="preserve">Simpson, Lisa. “Why Do We ‘Vote </w:t>
      </w:r>
      <w:proofErr w:type="spellStart"/>
      <w:r w:rsidRPr="004D3402">
        <w:rPr>
          <w:rFonts w:eastAsia="Times New Roman"/>
        </w:rPr>
        <w:t>Quimby</w:t>
      </w:r>
      <w:proofErr w:type="spellEnd"/>
      <w:r w:rsidRPr="004D3402">
        <w:rPr>
          <w:rFonts w:eastAsia="Times New Roman"/>
        </w:rPr>
        <w:t xml:space="preserve">’ Every Four Years?” </w:t>
      </w:r>
      <w:r w:rsidRPr="004D3402">
        <w:rPr>
          <w:rFonts w:eastAsia="Times New Roman"/>
          <w:i/>
          <w:iCs/>
        </w:rPr>
        <w:t>The Springfield Herald</w:t>
      </w:r>
      <w:r w:rsidRPr="004D3402">
        <w:rPr>
          <w:rFonts w:eastAsia="Times New Roman"/>
        </w:rPr>
        <w:t>, 13 December 1998, Section A, p. 3, Col. 2.</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Simpson, Marge.</w:t>
      </w:r>
      <w:r w:rsidR="00FF6C3A">
        <w:rPr>
          <w:rFonts w:eastAsia="Times New Roman"/>
        </w:rPr>
        <w:t xml:space="preserve">  </w:t>
      </w:r>
      <w:proofErr w:type="gramStart"/>
      <w:r w:rsidRPr="004D3402">
        <w:rPr>
          <w:rFonts w:eastAsia="Times New Roman"/>
          <w:i/>
          <w:iCs/>
        </w:rPr>
        <w:t>Cooking for a Man with a Big Appetite</w:t>
      </w:r>
      <w:r w:rsidRPr="004D3402">
        <w:rPr>
          <w:rFonts w:eastAsia="Times New Roman"/>
        </w:rPr>
        <w:t>.</w:t>
      </w:r>
      <w:proofErr w:type="gramEnd"/>
      <w:r w:rsidR="00FF6C3A">
        <w:rPr>
          <w:rFonts w:eastAsia="Times New Roman"/>
        </w:rPr>
        <w:t xml:space="preserve">  </w:t>
      </w:r>
      <w:r w:rsidRPr="004D3402">
        <w:rPr>
          <w:rFonts w:eastAsia="Times New Roman"/>
        </w:rPr>
        <w:t>Springfield:</w:t>
      </w:r>
      <w:r w:rsidR="00FF6C3A">
        <w:rPr>
          <w:rFonts w:eastAsia="Times New Roman"/>
        </w:rPr>
        <w:t xml:space="preserve"> </w:t>
      </w:r>
      <w:r w:rsidRPr="004D3402">
        <w:rPr>
          <w:rFonts w:eastAsia="Times New Roman"/>
        </w:rPr>
        <w:t>C. M. Burns Inc., 1999.</w:t>
      </w:r>
    </w:p>
    <w:p w:rsidR="004D3402" w:rsidRPr="004D3402" w:rsidRDefault="004D3402" w:rsidP="004D3402">
      <w:pPr>
        <w:autoSpaceDE w:val="0"/>
        <w:autoSpaceDN w:val="0"/>
        <w:adjustRightInd w:val="0"/>
        <w:spacing w:after="240"/>
        <w:ind w:left="720" w:hanging="720"/>
        <w:rPr>
          <w:rFonts w:eastAsia="Times New Roman"/>
          <w:i/>
          <w:iCs/>
        </w:rPr>
      </w:pPr>
      <w:proofErr w:type="spellStart"/>
      <w:r w:rsidRPr="004D3402">
        <w:rPr>
          <w:rFonts w:eastAsia="Times New Roman"/>
        </w:rPr>
        <w:t>Sizlak</w:t>
      </w:r>
      <w:proofErr w:type="spellEnd"/>
      <w:r w:rsidRPr="004D3402">
        <w:rPr>
          <w:rFonts w:eastAsia="Times New Roman"/>
        </w:rPr>
        <w:t>, Moe.</w:t>
      </w:r>
      <w:r w:rsidR="00FF6C3A">
        <w:rPr>
          <w:rFonts w:eastAsia="Times New Roman"/>
        </w:rPr>
        <w:t xml:space="preserve">  </w:t>
      </w:r>
      <w:proofErr w:type="gramStart"/>
      <w:r w:rsidRPr="004D3402">
        <w:rPr>
          <w:rFonts w:eastAsia="Times New Roman"/>
        </w:rPr>
        <w:t xml:space="preserve">Review of </w:t>
      </w:r>
      <w:r w:rsidRPr="004D3402">
        <w:rPr>
          <w:rFonts w:eastAsia="Times New Roman"/>
          <w:i/>
          <w:iCs/>
        </w:rPr>
        <w:t>My Life through a Beer Mug</w:t>
      </w:r>
      <w:r w:rsidRPr="004D3402">
        <w:rPr>
          <w:rFonts w:eastAsia="Times New Roman"/>
        </w:rPr>
        <w:t>, by Barney Gumbel.</w:t>
      </w:r>
      <w:proofErr w:type="gramEnd"/>
      <w:r w:rsidR="00FF6C3A">
        <w:rPr>
          <w:rFonts w:eastAsia="Times New Roman"/>
        </w:rPr>
        <w:t xml:space="preserve">  </w:t>
      </w:r>
      <w:r w:rsidRPr="004D3402">
        <w:rPr>
          <w:rFonts w:eastAsia="Times New Roman"/>
          <w:i/>
          <w:iCs/>
        </w:rPr>
        <w:t xml:space="preserve">Springfield Quarterly </w:t>
      </w:r>
      <w:r w:rsidRPr="004D3402">
        <w:rPr>
          <w:rFonts w:eastAsia="Times New Roman"/>
        </w:rPr>
        <w:t>XVI (Oct. 2002), 69-72.</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 xml:space="preserve">Skinner, Seymour, ed. </w:t>
      </w:r>
      <w:r w:rsidRPr="004D3402">
        <w:rPr>
          <w:rFonts w:eastAsia="Times New Roman"/>
          <w:i/>
          <w:iCs/>
        </w:rPr>
        <w:t>Encyclopedia of Springfield</w:t>
      </w:r>
      <w:r w:rsidRPr="004D3402">
        <w:rPr>
          <w:rFonts w:eastAsia="Times New Roman"/>
        </w:rPr>
        <w:t>.</w:t>
      </w:r>
      <w:r w:rsidR="00FF6C3A">
        <w:rPr>
          <w:rFonts w:eastAsia="Times New Roman"/>
        </w:rPr>
        <w:t xml:space="preserve">  </w:t>
      </w:r>
      <w:r w:rsidRPr="004D3402">
        <w:rPr>
          <w:rFonts w:eastAsia="Times New Roman"/>
        </w:rPr>
        <w:t>Springfield: Springfield University Press, 2002.</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lastRenderedPageBreak/>
        <w:t xml:space="preserve">Smith, John Howard. </w:t>
      </w:r>
      <w:r w:rsidR="00F96CE3">
        <w:rPr>
          <w:rFonts w:eastAsia="Times New Roman"/>
          <w:i/>
        </w:rPr>
        <w:t>“That’s One Spicy Meatball”</w:t>
      </w:r>
      <w:r w:rsidRPr="004D3402">
        <w:rPr>
          <w:rFonts w:eastAsia="Times New Roman"/>
          <w:i/>
        </w:rPr>
        <w:t>: Italian Food and Its American Expressions</w:t>
      </w:r>
      <w:r w:rsidRPr="004D3402">
        <w:rPr>
          <w:rFonts w:eastAsia="Times New Roman"/>
        </w:rPr>
        <w:t>.</w:t>
      </w:r>
      <w:r w:rsidR="00FF6C3A">
        <w:rPr>
          <w:rFonts w:eastAsia="Times New Roman"/>
        </w:rPr>
        <w:t xml:space="preserve">  </w:t>
      </w:r>
      <w:r w:rsidRPr="004D3402">
        <w:rPr>
          <w:rFonts w:eastAsia="Times New Roman"/>
        </w:rPr>
        <w:t>New York: Oxford University Press, 2006.</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rPr>
        <w:t>Soprano, Carmela.</w:t>
      </w:r>
      <w:r w:rsidR="00FF6C3A">
        <w:rPr>
          <w:rFonts w:eastAsia="Times New Roman"/>
        </w:rPr>
        <w:t xml:space="preserve">  </w:t>
      </w:r>
      <w:r w:rsidRPr="004D3402">
        <w:rPr>
          <w:rFonts w:eastAsia="Times New Roman"/>
          <w:i/>
          <w:iCs/>
        </w:rPr>
        <w:t>The Mafia Wife’s Household Companion</w:t>
      </w:r>
      <w:r w:rsidRPr="004D3402">
        <w:rPr>
          <w:rFonts w:eastAsia="Times New Roman"/>
        </w:rPr>
        <w:t>.</w:t>
      </w:r>
      <w:r w:rsidR="00FF6C3A">
        <w:rPr>
          <w:rFonts w:eastAsia="Times New Roman"/>
        </w:rPr>
        <w:t xml:space="preserve">  </w:t>
      </w:r>
      <w:r w:rsidRPr="004D3402">
        <w:rPr>
          <w:rFonts w:eastAsia="Times New Roman"/>
        </w:rPr>
        <w:t>Newark:</w:t>
      </w:r>
      <w:r w:rsidR="00FF6C3A">
        <w:rPr>
          <w:rFonts w:eastAsia="Times New Roman"/>
        </w:rPr>
        <w:t xml:space="preserve">  </w:t>
      </w:r>
      <w:proofErr w:type="spellStart"/>
      <w:r w:rsidRPr="004D3402">
        <w:rPr>
          <w:rFonts w:eastAsia="Times New Roman"/>
        </w:rPr>
        <w:t>Bada</w:t>
      </w:r>
      <w:proofErr w:type="spellEnd"/>
      <w:r w:rsidRPr="004D3402">
        <w:rPr>
          <w:rFonts w:eastAsia="Times New Roman"/>
        </w:rPr>
        <w:t xml:space="preserve"> Bing Press, 2002.</w:t>
      </w:r>
    </w:p>
    <w:p w:rsidR="004D3402" w:rsidRPr="004D3402" w:rsidRDefault="004D3402" w:rsidP="004D3402">
      <w:pPr>
        <w:autoSpaceDE w:val="0"/>
        <w:autoSpaceDN w:val="0"/>
        <w:adjustRightInd w:val="0"/>
        <w:spacing w:after="240"/>
        <w:ind w:left="720" w:hanging="720"/>
        <w:rPr>
          <w:rFonts w:eastAsia="Times New Roman"/>
          <w:i/>
          <w:iCs/>
        </w:rPr>
      </w:pPr>
      <w:r w:rsidRPr="004D3402">
        <w:rPr>
          <w:rFonts w:eastAsia="Times New Roman"/>
        </w:rPr>
        <w:t>Soprano, Tony.</w:t>
      </w:r>
      <w:r w:rsidR="00FF6C3A">
        <w:rPr>
          <w:rFonts w:eastAsia="Times New Roman"/>
        </w:rPr>
        <w:t xml:space="preserve">  </w:t>
      </w:r>
      <w:proofErr w:type="gramStart"/>
      <w:r w:rsidRPr="004D3402">
        <w:rPr>
          <w:rFonts w:eastAsia="Times New Roman"/>
        </w:rPr>
        <w:t>“Waste Management and the Legitimate Businessman.”</w:t>
      </w:r>
      <w:proofErr w:type="gramEnd"/>
      <w:r w:rsidR="00FF6C3A">
        <w:rPr>
          <w:rFonts w:eastAsia="Times New Roman"/>
        </w:rPr>
        <w:t xml:space="preserve">  </w:t>
      </w:r>
      <w:r w:rsidRPr="004D3402">
        <w:rPr>
          <w:rFonts w:eastAsia="Times New Roman"/>
          <w:i/>
          <w:iCs/>
        </w:rPr>
        <w:t xml:space="preserve">Journal of Organized Crime </w:t>
      </w:r>
      <w:r w:rsidRPr="004D3402">
        <w:rPr>
          <w:rFonts w:eastAsia="Times New Roman"/>
        </w:rPr>
        <w:t>XXVIII, No. 2 (Summer 2000), 142-166.</w:t>
      </w:r>
    </w:p>
    <w:p w:rsidR="004D3402" w:rsidRPr="004D3402" w:rsidRDefault="004D3402" w:rsidP="004D3402">
      <w:pPr>
        <w:autoSpaceDE w:val="0"/>
        <w:autoSpaceDN w:val="0"/>
        <w:adjustRightInd w:val="0"/>
        <w:spacing w:after="240"/>
        <w:ind w:left="720" w:hanging="720"/>
        <w:rPr>
          <w:rFonts w:eastAsia="Times New Roman"/>
        </w:rPr>
      </w:pPr>
      <w:proofErr w:type="gramStart"/>
      <w:r w:rsidRPr="004D3402">
        <w:rPr>
          <w:rFonts w:eastAsia="Times New Roman"/>
        </w:rPr>
        <w:t>Summers, Mary Ann and Ginger Grant.</w:t>
      </w:r>
      <w:proofErr w:type="gramEnd"/>
      <w:r w:rsidRPr="004D3402">
        <w:rPr>
          <w:rFonts w:eastAsia="Times New Roman"/>
        </w:rPr>
        <w:t xml:space="preserve"> </w:t>
      </w:r>
      <w:proofErr w:type="gramStart"/>
      <w:r w:rsidRPr="004D3402">
        <w:rPr>
          <w:rFonts w:eastAsia="Times New Roman"/>
          <w:i/>
          <w:iCs/>
        </w:rPr>
        <w:t>1001 Ways to Cook Coconuts</w:t>
      </w:r>
      <w:r w:rsidRPr="004D3402">
        <w:rPr>
          <w:rFonts w:eastAsia="Times New Roman"/>
        </w:rPr>
        <w:t>.</w:t>
      </w:r>
      <w:proofErr w:type="gramEnd"/>
      <w:r w:rsidRPr="004D3402">
        <w:rPr>
          <w:rFonts w:eastAsia="Times New Roman"/>
        </w:rPr>
        <w:t xml:space="preserve"> Honolulu:</w:t>
      </w:r>
      <w:r w:rsidR="00FF6C3A">
        <w:rPr>
          <w:rFonts w:eastAsia="Times New Roman"/>
        </w:rPr>
        <w:t xml:space="preserve">  </w:t>
      </w:r>
      <w:r w:rsidRPr="004D3402">
        <w:rPr>
          <w:rFonts w:eastAsia="Times New Roman"/>
        </w:rPr>
        <w:t>Ukulele Press, 1971.</w:t>
      </w:r>
    </w:p>
    <w:p w:rsidR="004D3402" w:rsidRPr="004D3402" w:rsidRDefault="004D3402" w:rsidP="004D3402">
      <w:pPr>
        <w:autoSpaceDE w:val="0"/>
        <w:autoSpaceDN w:val="0"/>
        <w:adjustRightInd w:val="0"/>
        <w:spacing w:after="240"/>
        <w:ind w:left="720" w:hanging="720"/>
        <w:rPr>
          <w:rFonts w:eastAsia="Times New Roman"/>
        </w:rPr>
      </w:pPr>
      <w:r w:rsidRPr="004D3402">
        <w:rPr>
          <w:rFonts w:eastAsia="Times New Roman"/>
          <w:i/>
          <w:iCs/>
        </w:rPr>
        <w:t>Webster’s New Collegiate Dictionary</w:t>
      </w:r>
      <w:r w:rsidRPr="004D3402">
        <w:rPr>
          <w:rFonts w:eastAsia="Times New Roman"/>
        </w:rPr>
        <w:t>. Springfield, MA: Houghton Mifflin Co., 1974.</w:t>
      </w:r>
    </w:p>
    <w:p w:rsidR="004D3402" w:rsidRPr="004D3402" w:rsidRDefault="004D3402" w:rsidP="004D3402">
      <w:pPr>
        <w:spacing w:after="0" w:line="480" w:lineRule="auto"/>
        <w:jc w:val="both"/>
        <w:rPr>
          <w:rFonts w:eastAsia="Times New Roman"/>
        </w:rPr>
      </w:pPr>
    </w:p>
    <w:p w:rsidR="004D3402" w:rsidRPr="00CF1F54" w:rsidRDefault="004D3402" w:rsidP="003377DF">
      <w:pPr>
        <w:spacing w:after="0" w:line="480" w:lineRule="auto"/>
        <w:contextualSpacing/>
      </w:pPr>
    </w:p>
    <w:p w:rsidR="00445CB6" w:rsidRPr="00CF1F54" w:rsidRDefault="00445CB6" w:rsidP="003377DF">
      <w:pPr>
        <w:spacing w:after="0" w:line="480" w:lineRule="auto"/>
        <w:contextualSpacing/>
      </w:pPr>
    </w:p>
    <w:p w:rsidR="00445CB6" w:rsidRPr="00CF1F54" w:rsidRDefault="00445CB6" w:rsidP="003377DF">
      <w:pPr>
        <w:spacing w:after="0" w:line="480" w:lineRule="auto"/>
        <w:contextualSpacing/>
      </w:pPr>
    </w:p>
    <w:p w:rsidR="00CB2B94" w:rsidRPr="00CF1F54" w:rsidRDefault="00CB2B94">
      <w:pPr>
        <w:rPr>
          <w:b/>
        </w:rPr>
      </w:pPr>
      <w:r w:rsidRPr="00CF1F54">
        <w:rPr>
          <w:b/>
        </w:rPr>
        <w:br w:type="page"/>
      </w:r>
    </w:p>
    <w:p w:rsidR="001477FF" w:rsidRPr="00CF1F54" w:rsidRDefault="00CB2B94" w:rsidP="003377DF">
      <w:pPr>
        <w:spacing w:after="0" w:line="480" w:lineRule="auto"/>
        <w:contextualSpacing/>
      </w:pPr>
      <w:r w:rsidRPr="00CF1F54">
        <w:rPr>
          <w:b/>
        </w:rPr>
        <w:lastRenderedPageBreak/>
        <w:t>VII</w:t>
      </w:r>
      <w:r w:rsidR="00AD0F60">
        <w:rPr>
          <w:b/>
        </w:rPr>
        <w:t>.</w:t>
      </w:r>
      <w:r w:rsidRPr="00CF1F54">
        <w:rPr>
          <w:b/>
        </w:rPr>
        <w:tab/>
      </w:r>
      <w:r w:rsidR="00A10E91" w:rsidRPr="00CF1F54">
        <w:rPr>
          <w:b/>
        </w:rPr>
        <w:t>Basic Mechanics</w:t>
      </w:r>
    </w:p>
    <w:p w:rsidR="00CF1F54" w:rsidRPr="00CF1F54" w:rsidRDefault="00CB2B94" w:rsidP="00CB2B94">
      <w:pPr>
        <w:autoSpaceDE w:val="0"/>
        <w:autoSpaceDN w:val="0"/>
        <w:adjustRightInd w:val="0"/>
        <w:spacing w:after="0" w:line="480" w:lineRule="auto"/>
        <w:ind w:firstLine="720"/>
        <w:rPr>
          <w:rFonts w:eastAsia="Times New Roman"/>
        </w:rPr>
      </w:pPr>
      <w:r w:rsidRPr="00CB2B94">
        <w:rPr>
          <w:rFonts w:eastAsia="Times New Roman"/>
        </w:rPr>
        <w:t>A paper should have a strong outline beginning with an introductory paragraph (or paragraphs) that contains your thesis sentence(s).</w:t>
      </w:r>
      <w:r w:rsidR="00FF6C3A">
        <w:rPr>
          <w:rFonts w:eastAsia="Times New Roman"/>
        </w:rPr>
        <w:t xml:space="preserve">  </w:t>
      </w:r>
      <w:r w:rsidRPr="00CB2B94">
        <w:rPr>
          <w:rFonts w:eastAsia="Times New Roman"/>
        </w:rPr>
        <w:t>Novice writers tend to refer to themselves in these openings—“I will prove that . . .” or “It is my intention to show how . . .”—and you should avoid doing that.</w:t>
      </w:r>
      <w:r w:rsidR="00FF6C3A">
        <w:rPr>
          <w:rFonts w:eastAsia="Times New Roman"/>
        </w:rPr>
        <w:t xml:space="preserve">  </w:t>
      </w:r>
      <w:r w:rsidRPr="00CB2B94">
        <w:rPr>
          <w:rFonts w:eastAsia="Times New Roman"/>
        </w:rPr>
        <w:t>It is far more preferable to write “The purpose of this essay is to prove that . . .” or something to that effect without referring to yourself.</w:t>
      </w:r>
      <w:r w:rsidR="00FF6C3A">
        <w:rPr>
          <w:rFonts w:eastAsia="Times New Roman"/>
        </w:rPr>
        <w:t xml:space="preserve">  </w:t>
      </w:r>
      <w:r w:rsidRPr="00CB2B94">
        <w:rPr>
          <w:rFonts w:eastAsia="Times New Roman"/>
        </w:rPr>
        <w:t>The same rule applies to references to the reader (“As we shall see . . .” or “You may ask . . .”).</w:t>
      </w:r>
      <w:r w:rsidR="00FF6C3A">
        <w:rPr>
          <w:rFonts w:eastAsia="Times New Roman"/>
        </w:rPr>
        <w:t xml:space="preserve">  </w:t>
      </w:r>
      <w:r w:rsidRPr="00CB2B94">
        <w:rPr>
          <w:rFonts w:eastAsia="Times New Roman"/>
        </w:rPr>
        <w:t>You might notice that some professional historians violate this rule, but just as artists have to learn the rules before it is permissible to break them, so the same axiom applies to budding scholars.</w:t>
      </w:r>
      <w:r w:rsidRPr="00CF1F54">
        <w:rPr>
          <w:rFonts w:eastAsia="Times New Roman"/>
          <w:vertAlign w:val="superscript"/>
        </w:rPr>
        <w:footnoteReference w:id="29"/>
      </w:r>
      <w:r w:rsidR="00FF6C3A">
        <w:rPr>
          <w:rFonts w:eastAsia="Times New Roman"/>
        </w:rPr>
        <w:t xml:space="preserve">  </w:t>
      </w:r>
    </w:p>
    <w:p w:rsidR="00CB2B94" w:rsidRPr="00CB2B94" w:rsidRDefault="00CB2B94" w:rsidP="00CB2B94">
      <w:pPr>
        <w:autoSpaceDE w:val="0"/>
        <w:autoSpaceDN w:val="0"/>
        <w:adjustRightInd w:val="0"/>
        <w:spacing w:after="0" w:line="480" w:lineRule="auto"/>
        <w:ind w:firstLine="720"/>
        <w:rPr>
          <w:rFonts w:eastAsia="Times New Roman"/>
        </w:rPr>
      </w:pPr>
      <w:r w:rsidRPr="00CB2B94">
        <w:rPr>
          <w:rFonts w:eastAsia="Times New Roman"/>
        </w:rPr>
        <w:t>The body of the paper should lay out the author’s argument in a natural, logical manner, buttressed with evidence from both primary and secondary sources properly cited, and the paper should end with a concluding paragraph that summarizes the argument and restates the thesis (preferably using different wording).</w:t>
      </w:r>
      <w:r w:rsidR="00FF6C3A">
        <w:rPr>
          <w:rFonts w:eastAsia="Times New Roman"/>
        </w:rPr>
        <w:t xml:space="preserve">  </w:t>
      </w:r>
      <w:r w:rsidRPr="00CB2B94">
        <w:rPr>
          <w:rFonts w:eastAsia="Times New Roman"/>
        </w:rPr>
        <w:t>Take great pains to avoid grammatical and spelling errors, many of which can be detected simply by reading your paper aloud—preferably to someone else.</w:t>
      </w:r>
      <w:r w:rsidR="00FF6C3A">
        <w:rPr>
          <w:rFonts w:eastAsia="Times New Roman"/>
        </w:rPr>
        <w:t xml:space="preserve">  </w:t>
      </w:r>
      <w:r w:rsidRPr="00CB2B94">
        <w:rPr>
          <w:rFonts w:eastAsia="Times New Roman"/>
        </w:rPr>
        <w:t xml:space="preserve">An excellent resource for students is William Strunk Jr. and E. B. White’s </w:t>
      </w:r>
      <w:r w:rsidRPr="00CB2B94">
        <w:rPr>
          <w:rFonts w:eastAsia="Times New Roman"/>
          <w:i/>
        </w:rPr>
        <w:t>The Elements of Style</w:t>
      </w:r>
      <w:r w:rsidRPr="00CB2B94">
        <w:rPr>
          <w:rFonts w:eastAsia="Times New Roman"/>
        </w:rPr>
        <w:t>, which will guide students for the rest of their student careers and beyond.</w:t>
      </w:r>
    </w:p>
    <w:p w:rsidR="001330DC" w:rsidRDefault="00EB65F4" w:rsidP="00CB2B94">
      <w:pPr>
        <w:autoSpaceDE w:val="0"/>
        <w:autoSpaceDN w:val="0"/>
        <w:adjustRightInd w:val="0"/>
        <w:spacing w:after="0" w:line="480" w:lineRule="auto"/>
        <w:ind w:firstLine="720"/>
        <w:rPr>
          <w:rFonts w:eastAsia="Times New Roman"/>
        </w:rPr>
      </w:pPr>
      <w:r>
        <w:rPr>
          <w:rFonts w:eastAsia="Times New Roman"/>
        </w:rPr>
        <w:t xml:space="preserve">Think about beginning your paper with a hook, a historical anecdote that catches the reader’s attention and sets the tone for the entire paper. Then you are situated to precisely state your argument relative to the hook and then you can proceed through the body of the paper. </w:t>
      </w:r>
      <w:r w:rsidR="00573135">
        <w:rPr>
          <w:rFonts w:eastAsia="Times New Roman"/>
        </w:rPr>
        <w:t>Also, y</w:t>
      </w:r>
      <w:r>
        <w:rPr>
          <w:rFonts w:eastAsia="Times New Roman"/>
        </w:rPr>
        <w:t>ou should always remember that the conclusion is the opportunity to prove the point for writing the paper</w:t>
      </w:r>
      <w:r w:rsidR="00573135">
        <w:rPr>
          <w:rFonts w:eastAsia="Times New Roman"/>
        </w:rPr>
        <w:t>.</w:t>
      </w:r>
      <w:r>
        <w:rPr>
          <w:rFonts w:eastAsia="Times New Roman"/>
        </w:rPr>
        <w:t xml:space="preserve"> </w:t>
      </w:r>
      <w:r w:rsidR="00573135">
        <w:rPr>
          <w:rFonts w:eastAsia="Times New Roman"/>
        </w:rPr>
        <w:t>I</w:t>
      </w:r>
      <w:r>
        <w:rPr>
          <w:rFonts w:eastAsia="Times New Roman"/>
        </w:rPr>
        <w:t>f the purpose of historical writing is to demonstrate meaning and significance, the conclusion should clearly express that significance. It should not summarize the body of the paper – the reader just read all of that material and it does not need to be restated.</w:t>
      </w:r>
    </w:p>
    <w:p w:rsidR="001330DC" w:rsidRDefault="001330DC" w:rsidP="00CB2B94">
      <w:pPr>
        <w:autoSpaceDE w:val="0"/>
        <w:autoSpaceDN w:val="0"/>
        <w:adjustRightInd w:val="0"/>
        <w:spacing w:after="0" w:line="480" w:lineRule="auto"/>
        <w:ind w:firstLine="720"/>
        <w:rPr>
          <w:rFonts w:eastAsia="Times New Roman"/>
        </w:rPr>
      </w:pPr>
      <w:r>
        <w:rPr>
          <w:rFonts w:eastAsia="Times New Roman"/>
        </w:rPr>
        <w:lastRenderedPageBreak/>
        <w:t>You should deliberately pay attention to the tone used throughout your paper because the tone can distract from the evidence you present and the argument you make. Avoid using overstatements when more neutral language works effectively. Do not engage in personal attacks and avoid using language that is inflammatory, harshly critical, etc. In short, attempt to present the facts in a neutral, objective manner.</w:t>
      </w:r>
    </w:p>
    <w:p w:rsidR="00CB2B94" w:rsidRPr="00CB2B94" w:rsidRDefault="00CB2B94" w:rsidP="00CB2B94">
      <w:pPr>
        <w:autoSpaceDE w:val="0"/>
        <w:autoSpaceDN w:val="0"/>
        <w:adjustRightInd w:val="0"/>
        <w:spacing w:after="0" w:line="480" w:lineRule="auto"/>
        <w:ind w:firstLine="720"/>
        <w:rPr>
          <w:rFonts w:eastAsia="Times New Roman"/>
        </w:rPr>
      </w:pPr>
      <w:r w:rsidRPr="00CB2B94">
        <w:rPr>
          <w:rFonts w:eastAsia="Times New Roman"/>
        </w:rPr>
        <w:t>Some very basic mechanical considerations must be addressed, which tend to do the most damage to students’ papers in terms of their evaluation.</w:t>
      </w:r>
      <w:r w:rsidR="00FF6C3A">
        <w:rPr>
          <w:rFonts w:eastAsia="Times New Roman"/>
        </w:rPr>
        <w:t xml:space="preserve">  </w:t>
      </w:r>
      <w:r w:rsidRPr="00CB2B94">
        <w:rPr>
          <w:rFonts w:eastAsia="Times New Roman"/>
        </w:rPr>
        <w:t>These are among the most common mistakes that emerging—and even some experienced—writers make, and getting familiar with them will help you avoid them.</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 Watch your sentence structure.</w:t>
      </w:r>
      <w:r w:rsidR="00FF6C3A">
        <w:rPr>
          <w:rFonts w:eastAsia="Times New Roman"/>
        </w:rPr>
        <w:t xml:space="preserve">  </w:t>
      </w:r>
      <w:r w:rsidRPr="00CB2B94">
        <w:rPr>
          <w:rFonts w:eastAsia="Times New Roman"/>
        </w:rPr>
        <w:t>Sentences should not be short and choppy.</w:t>
      </w:r>
      <w:r w:rsidR="00FF6C3A">
        <w:rPr>
          <w:rFonts w:eastAsia="Times New Roman"/>
        </w:rPr>
        <w:t xml:space="preserve">  </w:t>
      </w:r>
      <w:r w:rsidRPr="00CB2B94">
        <w:rPr>
          <w:rFonts w:eastAsia="Times New Roman"/>
        </w:rPr>
        <w:t>You should provide some variety.</w:t>
      </w:r>
      <w:r w:rsidR="00FF6C3A">
        <w:rPr>
          <w:rFonts w:eastAsia="Times New Roman"/>
        </w:rPr>
        <w:t xml:space="preserve">  </w:t>
      </w:r>
      <w:r w:rsidRPr="00CB2B94">
        <w:rPr>
          <w:rFonts w:eastAsia="Times New Roman"/>
        </w:rPr>
        <w:t>A succession of loose, short sentences is annoying (as you’ve just noticed).</w:t>
      </w:r>
      <w:r w:rsidR="00FF6C3A">
        <w:rPr>
          <w:rFonts w:eastAsia="Times New Roman"/>
        </w:rPr>
        <w:t xml:space="preserve">  </w:t>
      </w:r>
      <w:r w:rsidRPr="00CB2B94">
        <w:rPr>
          <w:rFonts w:eastAsia="Times New Roman"/>
        </w:rPr>
        <w:t>Short sentences are not always bad, and can often be effective, but an entire paper of such sentences shows a lack of effort and writing experience.</w:t>
      </w:r>
      <w:r w:rsidR="00FF6C3A">
        <w:rPr>
          <w:rFonts w:eastAsia="Times New Roman"/>
        </w:rPr>
        <w:t xml:space="preserve">  </w:t>
      </w:r>
      <w:r w:rsidRPr="00CB2B94">
        <w:rPr>
          <w:rFonts w:eastAsia="Times New Roman"/>
        </w:rPr>
        <w:t>Develop appropriate compound and complex sentences for your paper.</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 Syntax refers to the way words are put together to construct a sentence.</w:t>
      </w:r>
      <w:r w:rsidR="00FF6C3A">
        <w:rPr>
          <w:rFonts w:eastAsia="Times New Roman"/>
        </w:rPr>
        <w:t xml:space="preserve">  </w:t>
      </w:r>
      <w:r w:rsidRPr="00CB2B94">
        <w:rPr>
          <w:rFonts w:eastAsia="Times New Roman"/>
        </w:rPr>
        <w:t>Avoid convoluted syntax, which is almost the opposite problem of short, choppy sentences.</w:t>
      </w:r>
      <w:r w:rsidR="00FF6C3A">
        <w:rPr>
          <w:rFonts w:eastAsia="Times New Roman"/>
        </w:rPr>
        <w:t xml:space="preserve">  </w:t>
      </w:r>
      <w:r w:rsidRPr="00CB2B94">
        <w:rPr>
          <w:rFonts w:eastAsia="Times New Roman"/>
        </w:rPr>
        <w:t>If one of your long, complex sentences makes no sense, syntax is probably the problem.</w:t>
      </w:r>
      <w:r w:rsidR="00FF6C3A">
        <w:rPr>
          <w:rFonts w:eastAsia="Times New Roman"/>
        </w:rPr>
        <w:t xml:space="preserve">  </w:t>
      </w:r>
      <w:r w:rsidRPr="00CB2B94">
        <w:rPr>
          <w:rFonts w:eastAsia="Times New Roman"/>
        </w:rPr>
        <w:t>Often syntax is poor when the subject is separated from the predicate by a long series of phrases or modifiers.</w:t>
      </w:r>
      <w:r w:rsidR="00FF6C3A">
        <w:rPr>
          <w:rFonts w:eastAsia="Times New Roman"/>
        </w:rPr>
        <w:t xml:space="preserve">  </w:t>
      </w:r>
      <w:r w:rsidRPr="00CB2B94">
        <w:rPr>
          <w:rFonts w:eastAsia="Times New Roman"/>
        </w:rPr>
        <w:t>Another problem of syntax is misplaced modifiers.</w:t>
      </w:r>
      <w:r w:rsidR="00FF6C3A">
        <w:rPr>
          <w:rFonts w:eastAsia="Times New Roman"/>
        </w:rPr>
        <w:t xml:space="preserve">  </w:t>
      </w:r>
      <w:r w:rsidRPr="00CB2B94">
        <w:rPr>
          <w:rFonts w:eastAsia="Times New Roman"/>
        </w:rPr>
        <w:t>The modifying phrases are so far away from the words they modify that the sentence</w:t>
      </w:r>
      <w:r w:rsidR="00F96CE3">
        <w:rPr>
          <w:rFonts w:eastAsia="Times New Roman"/>
        </w:rPr>
        <w:t>’s</w:t>
      </w:r>
      <w:r w:rsidRPr="00CB2B94">
        <w:rPr>
          <w:rFonts w:eastAsia="Times New Roman"/>
        </w:rPr>
        <w:t xml:space="preserve"> sense becomes murky.</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3. Pay attention to the rules of paragraphing.</w:t>
      </w:r>
      <w:r w:rsidR="00FF6C3A">
        <w:rPr>
          <w:rFonts w:eastAsia="Times New Roman"/>
        </w:rPr>
        <w:t xml:space="preserve">  </w:t>
      </w:r>
      <w:r w:rsidRPr="00CB2B94">
        <w:rPr>
          <w:rFonts w:eastAsia="Times New Roman"/>
        </w:rPr>
        <w:t>Treat each paragraph as a miniature essay in itself.</w:t>
      </w:r>
      <w:r w:rsidR="00FF6C3A">
        <w:rPr>
          <w:rFonts w:eastAsia="Times New Roman"/>
        </w:rPr>
        <w:t xml:space="preserve">  </w:t>
      </w:r>
      <w:r w:rsidRPr="00CB2B94">
        <w:rPr>
          <w:rFonts w:eastAsia="Times New Roman"/>
        </w:rPr>
        <w:t>Each paragraph should contain one main idea, expressed in a topic sentence.</w:t>
      </w:r>
      <w:r w:rsidR="00FF6C3A">
        <w:rPr>
          <w:rFonts w:eastAsia="Times New Roman"/>
        </w:rPr>
        <w:t xml:space="preserve">  </w:t>
      </w:r>
      <w:r w:rsidRPr="00CB2B94">
        <w:rPr>
          <w:rFonts w:eastAsia="Times New Roman"/>
        </w:rPr>
        <w:t>After the topic sentence, include at least one sentence (preferably more) supporting the paragraph’s main idea.</w:t>
      </w:r>
      <w:r w:rsidR="00FF6C3A">
        <w:rPr>
          <w:rFonts w:eastAsia="Times New Roman"/>
        </w:rPr>
        <w:t xml:space="preserve">  </w:t>
      </w:r>
      <w:r w:rsidRPr="00CB2B94">
        <w:rPr>
          <w:rFonts w:eastAsia="Times New Roman"/>
        </w:rPr>
        <w:t>Finally, bring the paragraph to a close with some kind of concluding thought, one that links the topic of the paragraph to the main thesis of the essay.</w:t>
      </w:r>
      <w:r w:rsidR="00FF6C3A">
        <w:rPr>
          <w:rFonts w:eastAsia="Times New Roman"/>
        </w:rPr>
        <w:t xml:space="preserve">  </w:t>
      </w:r>
      <w:r w:rsidRPr="00CB2B94">
        <w:rPr>
          <w:rFonts w:eastAsia="Times New Roman"/>
        </w:rPr>
        <w:t>A good paragraph has at least four—or more commonly five or six—sentences, most of them compound sentences.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4. Use transition sentences that link one paragraph logically and smoothly to the next.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5. The following constructions are weak and you should avoid them, or at best only very sparingly:</w:t>
      </w:r>
      <w:r w:rsidR="00FF6C3A">
        <w:rPr>
          <w:rFonts w:eastAsia="Times New Roman"/>
        </w:rPr>
        <w:t xml:space="preserve">  </w:t>
      </w:r>
      <w:r w:rsidRPr="00CB2B94">
        <w:rPr>
          <w:rFonts w:eastAsia="Times New Roman"/>
        </w:rPr>
        <w:t>“it is,” “it was,” “there are,” “there is,” “there were,” “this is,” “this was,” “it would,” and “there would.”</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6. Avoid the phrasing, “the fact that.”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7. Avoid the word “truly.”</w:t>
      </w:r>
      <w:r w:rsidR="00FF6C3A">
        <w:rPr>
          <w:rFonts w:eastAsia="Times New Roman"/>
        </w:rPr>
        <w:t xml:space="preserve">  </w:t>
      </w:r>
      <w:r w:rsidRPr="00CB2B94">
        <w:rPr>
          <w:rFonts w:eastAsia="Times New Roman"/>
        </w:rPr>
        <w:t>Similarly, use “very” and “really” with extreme caution.</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8. Avoid the following words and phrases as they add nothing to your argument: “actually,” “basically,” “generally,”</w:t>
      </w:r>
      <w:r w:rsidR="00CF1F54">
        <w:rPr>
          <w:rFonts w:eastAsia="Times New Roman"/>
        </w:rPr>
        <w:t xml:space="preserve"> “usually,” “as you know</w:t>
      </w:r>
      <w:r w:rsidRPr="00CB2B94">
        <w:rPr>
          <w:rFonts w:eastAsia="Times New Roman"/>
        </w:rPr>
        <w:t>,” and especially “needless to say” (if it does not need to be said, then do not say it!).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9. Use the pronoun “this” very carefully.</w:t>
      </w:r>
      <w:r w:rsidR="00FF6C3A">
        <w:rPr>
          <w:rFonts w:eastAsia="Times New Roman"/>
        </w:rPr>
        <w:t xml:space="preserve">  </w:t>
      </w:r>
      <w:r w:rsidRPr="00CB2B94">
        <w:rPr>
          <w:rFonts w:eastAsia="Times New Roman"/>
        </w:rPr>
        <w:t>Many writers overuse the word, especially when using “this” as the subject of a sentence.</w:t>
      </w:r>
      <w:r w:rsidR="00FF6C3A">
        <w:rPr>
          <w:rFonts w:eastAsia="Times New Roman"/>
        </w:rPr>
        <w:t xml:space="preserve">  </w:t>
      </w:r>
      <w:r w:rsidRPr="00CB2B94">
        <w:rPr>
          <w:rFonts w:eastAsia="Times New Roman"/>
        </w:rPr>
        <w:t>When doing so, the antecedent is often unclear.</w:t>
      </w:r>
      <w:r w:rsidR="00FF6C3A">
        <w:rPr>
          <w:rFonts w:eastAsia="Times New Roman"/>
        </w:rPr>
        <w:t xml:space="preserve">  </w:t>
      </w:r>
      <w:r w:rsidRPr="00CB2B94">
        <w:rPr>
          <w:rFonts w:eastAsia="Times New Roman"/>
        </w:rPr>
        <w:t>For example: “Work began on the senator’s controversial proposal and his speech.</w:t>
      </w:r>
      <w:r w:rsidR="00FF6C3A">
        <w:rPr>
          <w:rFonts w:eastAsia="Times New Roman"/>
        </w:rPr>
        <w:t xml:space="preserve">  </w:t>
      </w:r>
      <w:r w:rsidRPr="00CB2B94">
        <w:rPr>
          <w:rFonts w:eastAsia="Times New Roman"/>
        </w:rPr>
        <w:t>This was a difficult project.”</w:t>
      </w:r>
      <w:r w:rsidR="00FF6C3A">
        <w:rPr>
          <w:rFonts w:eastAsia="Times New Roman"/>
        </w:rPr>
        <w:t xml:space="preserve">  </w:t>
      </w:r>
      <w:r w:rsidRPr="00CB2B94">
        <w:rPr>
          <w:rFonts w:eastAsia="Times New Roman"/>
        </w:rPr>
        <w:t>What was difficult?</w:t>
      </w:r>
      <w:r w:rsidR="00FF6C3A">
        <w:rPr>
          <w:rFonts w:eastAsia="Times New Roman"/>
        </w:rPr>
        <w:t xml:space="preserve">  </w:t>
      </w:r>
      <w:r w:rsidRPr="00CB2B94">
        <w:rPr>
          <w:rFonts w:eastAsia="Times New Roman"/>
        </w:rPr>
        <w:t>Was the work on the proposal and speech difficult? Was the proposal difficult?</w:t>
      </w:r>
      <w:r w:rsidR="00FF6C3A">
        <w:rPr>
          <w:rFonts w:eastAsia="Times New Roman"/>
        </w:rPr>
        <w:t xml:space="preserve">  </w:t>
      </w:r>
      <w:r w:rsidRPr="00CB2B94">
        <w:rPr>
          <w:rFonts w:eastAsia="Times New Roman"/>
        </w:rPr>
        <w:t>Was the speech difficult?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F1F54">
      <w:pPr>
        <w:autoSpaceDE w:val="0"/>
        <w:autoSpaceDN w:val="0"/>
        <w:adjustRightInd w:val="0"/>
        <w:spacing w:after="0"/>
        <w:ind w:left="965" w:right="720" w:hanging="245"/>
        <w:rPr>
          <w:rFonts w:eastAsia="Times New Roman"/>
        </w:rPr>
      </w:pPr>
      <w:r w:rsidRPr="00CB2B94">
        <w:rPr>
          <w:rFonts w:eastAsia="Times New Roman"/>
        </w:rPr>
        <w:t>10. Spacing between sentences</w:t>
      </w:r>
      <w:r w:rsidR="00CF1F54">
        <w:rPr>
          <w:rFonts w:eastAsia="Times New Roman"/>
        </w:rPr>
        <w:t xml:space="preserve"> is a rule currently in transition. The older tradition was to use two spaces, the newer tradition uses only one. Please follow the guidelines of your instructor.</w:t>
      </w:r>
      <w:r w:rsidR="00FF6C3A">
        <w:rPr>
          <w:rFonts w:eastAsia="Times New Roman"/>
        </w:rPr>
        <w:t xml:space="preserve">  </w:t>
      </w:r>
      <w:r w:rsidRPr="00CB2B94">
        <w:rPr>
          <w:rFonts w:eastAsia="Times New Roman"/>
        </w:rPr>
        <w:t xml:space="preserve">However, spacing after periods used in abbreviations, as well as semicolons, is </w:t>
      </w:r>
      <w:r w:rsidR="00CF1F54">
        <w:rPr>
          <w:rFonts w:eastAsia="Times New Roman"/>
        </w:rPr>
        <w:t xml:space="preserve">always </w:t>
      </w:r>
      <w:r w:rsidRPr="00CB2B94">
        <w:rPr>
          <w:rFonts w:eastAsia="Times New Roman"/>
        </w:rPr>
        <w:t>only one, and not two.</w:t>
      </w:r>
      <w:r w:rsidR="00FF6C3A">
        <w:rPr>
          <w:rFonts w:eastAsia="Times New Roman"/>
        </w:rPr>
        <w:t xml:space="preserve">  </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11. Do not use contractions in formal writing, except when quoting original sources.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12. Do not use abbreviations, except when quoting original sources.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13. Ensure that you do not have a problem with antecedent agreement by always looking at each item to determine that the word is close to and agrees with the antecedent.</w:t>
      </w:r>
    </w:p>
    <w:p w:rsidR="00CB2B94" w:rsidRPr="00CB2B94" w:rsidRDefault="00CB2B94" w:rsidP="00CB2B94">
      <w:pPr>
        <w:autoSpaceDE w:val="0"/>
        <w:autoSpaceDN w:val="0"/>
        <w:adjustRightInd w:val="0"/>
        <w:spacing w:after="0"/>
        <w:ind w:left="965" w:right="720" w:hanging="245"/>
        <w:rPr>
          <w:rFonts w:eastAsia="Times New Roman"/>
        </w:rPr>
      </w:pPr>
    </w:p>
    <w:p w:rsidR="00CB2B94" w:rsidRDefault="00CB2B94" w:rsidP="00CB2B94">
      <w:pPr>
        <w:autoSpaceDE w:val="0"/>
        <w:autoSpaceDN w:val="0"/>
        <w:adjustRightInd w:val="0"/>
        <w:spacing w:after="0"/>
        <w:ind w:left="965" w:right="720" w:hanging="245"/>
        <w:rPr>
          <w:rFonts w:eastAsia="Times New Roman"/>
        </w:rPr>
      </w:pPr>
      <w:r w:rsidRPr="00CB2B94">
        <w:rPr>
          <w:rFonts w:eastAsia="Times New Roman"/>
        </w:rPr>
        <w:t>14. Do not use the verb “felt” instead of “thought,” “considered,” or “believed.”</w:t>
      </w:r>
      <w:r w:rsidR="00FF6C3A">
        <w:rPr>
          <w:rFonts w:eastAsia="Times New Roman"/>
        </w:rPr>
        <w:t xml:space="preserve">  </w:t>
      </w:r>
      <w:r w:rsidRPr="00CB2B94">
        <w:rPr>
          <w:rFonts w:eastAsia="Times New Roman"/>
        </w:rPr>
        <w:t xml:space="preserve">One cannot </w:t>
      </w:r>
      <w:r w:rsidRPr="00CB2B94">
        <w:rPr>
          <w:rFonts w:eastAsia="Times New Roman"/>
          <w:i/>
        </w:rPr>
        <w:t>feel</w:t>
      </w:r>
      <w:r w:rsidRPr="00CB2B94">
        <w:rPr>
          <w:rFonts w:eastAsia="Times New Roman"/>
        </w:rPr>
        <w:t xml:space="preserve"> a fact or opinion, which requires thought and reflection.</w:t>
      </w:r>
      <w:r w:rsidR="00FF6C3A">
        <w:rPr>
          <w:rFonts w:eastAsia="Times New Roman"/>
        </w:rPr>
        <w:t xml:space="preserve">  </w:t>
      </w:r>
    </w:p>
    <w:p w:rsidR="00CF1F54" w:rsidRPr="00CB2B94" w:rsidRDefault="00CF1F5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15. Do not overuse the verb “became.”</w:t>
      </w:r>
      <w:r w:rsidR="00FF6C3A">
        <w:rPr>
          <w:rFonts w:eastAsia="Times New Roman"/>
        </w:rPr>
        <w:t xml:space="preserve">  </w:t>
      </w:r>
      <w:r w:rsidRPr="00CB2B94">
        <w:rPr>
          <w:rFonts w:eastAsia="Times New Roman"/>
        </w:rPr>
        <w:t>Historians often describe how events unfold or how one set of circumstances changes.</w:t>
      </w:r>
      <w:r w:rsidR="00FF6C3A">
        <w:rPr>
          <w:rFonts w:eastAsia="Times New Roman"/>
        </w:rPr>
        <w:t xml:space="preserve">  </w:t>
      </w:r>
      <w:r w:rsidRPr="00CB2B94">
        <w:rPr>
          <w:rFonts w:eastAsia="Times New Roman"/>
        </w:rPr>
        <w:t>In writing about such changes over time, writers use the word “became” too frequently.</w:t>
      </w:r>
      <w:r w:rsidR="00FF6C3A">
        <w:rPr>
          <w:rFonts w:eastAsia="Times New Roman"/>
        </w:rPr>
        <w:t xml:space="preserve">  </w:t>
      </w:r>
      <w:r w:rsidRPr="00CB2B94">
        <w:rPr>
          <w:rFonts w:eastAsia="Times New Roman"/>
        </w:rPr>
        <w:t>“Became” is a listless word that lacks action or precision.</w:t>
      </w:r>
      <w:r w:rsidR="00FF6C3A">
        <w:rPr>
          <w:rFonts w:eastAsia="Times New Roman"/>
        </w:rPr>
        <w:t xml:space="preserve">  </w:t>
      </w:r>
      <w:r w:rsidRPr="00CB2B94">
        <w:rPr>
          <w:rFonts w:eastAsia="Times New Roman"/>
        </w:rPr>
        <w:t>Another verb that is similarly abused is “proved.”</w:t>
      </w:r>
      <w:r w:rsidR="00FF6C3A">
        <w:rPr>
          <w:rFonts w:eastAsia="Times New Roman"/>
        </w:rPr>
        <w:t xml:space="preserve">  </w:t>
      </w:r>
      <w:r w:rsidRPr="00CB2B94">
        <w:rPr>
          <w:rFonts w:eastAsia="Times New Roman"/>
        </w:rPr>
        <w:t>For example: “The decision proved to be difficult for Gen. Washington.”</w:t>
      </w:r>
      <w:r w:rsidR="00FF6C3A">
        <w:rPr>
          <w:rFonts w:eastAsia="Times New Roman"/>
        </w:rPr>
        <w:t xml:space="preserve">  </w:t>
      </w:r>
      <w:r w:rsidRPr="00CB2B94">
        <w:rPr>
          <w:rFonts w:eastAsia="Times New Roman"/>
        </w:rPr>
        <w:t>Substitute a different verb in most cases.</w:t>
      </w:r>
      <w:r w:rsidR="00FF6C3A">
        <w:rPr>
          <w:rFonts w:eastAsia="Times New Roman"/>
        </w:rPr>
        <w:t xml:space="preserve">  </w:t>
      </w:r>
      <w:r w:rsidRPr="00CB2B94">
        <w:rPr>
          <w:rFonts w:eastAsia="Times New Roman"/>
        </w:rPr>
        <w:t>Use “proved” sparingly, and your paper will prove to be a good one.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16. Avoid close-word repetition.</w:t>
      </w:r>
      <w:r w:rsidR="00FF6C3A">
        <w:rPr>
          <w:rFonts w:eastAsia="Times New Roman"/>
        </w:rPr>
        <w:t xml:space="preserve">  </w:t>
      </w:r>
      <w:r w:rsidRPr="00CB2B94">
        <w:rPr>
          <w:rFonts w:eastAsia="Times New Roman"/>
        </w:rPr>
        <w:t>Poor writers often use the same word or variation of it several times in succession.</w:t>
      </w:r>
      <w:r w:rsidR="00FF6C3A">
        <w:rPr>
          <w:rFonts w:eastAsia="Times New Roman"/>
        </w:rPr>
        <w:t xml:space="preserve">  </w:t>
      </w:r>
      <w:r w:rsidRPr="00CB2B94">
        <w:rPr>
          <w:rFonts w:eastAsia="Times New Roman"/>
        </w:rPr>
        <w:t xml:space="preserve">For example: “He </w:t>
      </w:r>
      <w:r w:rsidRPr="00CB2B94">
        <w:rPr>
          <w:rFonts w:eastAsia="Times New Roman"/>
          <w:b/>
        </w:rPr>
        <w:t>organized</w:t>
      </w:r>
      <w:r w:rsidRPr="00CB2B94">
        <w:rPr>
          <w:rFonts w:eastAsia="Times New Roman"/>
        </w:rPr>
        <w:t xml:space="preserve"> a large </w:t>
      </w:r>
      <w:r w:rsidRPr="00CB2B94">
        <w:rPr>
          <w:rFonts w:eastAsia="Times New Roman"/>
          <w:b/>
        </w:rPr>
        <w:t>organization</w:t>
      </w:r>
      <w:r w:rsidRPr="00CB2B94">
        <w:rPr>
          <w:rFonts w:eastAsia="Times New Roman"/>
        </w:rPr>
        <w:t xml:space="preserve"> of workers.</w:t>
      </w:r>
      <w:r w:rsidR="00FF6C3A">
        <w:rPr>
          <w:rFonts w:eastAsia="Times New Roman"/>
        </w:rPr>
        <w:t xml:space="preserve">  </w:t>
      </w:r>
      <w:r w:rsidRPr="00CB2B94">
        <w:rPr>
          <w:rFonts w:eastAsia="Times New Roman"/>
        </w:rPr>
        <w:t xml:space="preserve">This </w:t>
      </w:r>
      <w:r w:rsidRPr="00CB2B94">
        <w:rPr>
          <w:rFonts w:eastAsia="Times New Roman"/>
          <w:b/>
        </w:rPr>
        <w:t>organization</w:t>
      </w:r>
      <w:r w:rsidRPr="00CB2B94">
        <w:rPr>
          <w:rFonts w:eastAsia="Times New Roman"/>
        </w:rPr>
        <w:t xml:space="preserve"> proved to be the strongest in the region, and Chavez became a leader among </w:t>
      </w:r>
      <w:r w:rsidRPr="00CB2B94">
        <w:rPr>
          <w:rFonts w:eastAsia="Times New Roman"/>
          <w:b/>
        </w:rPr>
        <w:t>organized</w:t>
      </w:r>
      <w:r w:rsidRPr="00CB2B94">
        <w:rPr>
          <w:rFonts w:eastAsia="Times New Roman"/>
        </w:rPr>
        <w:t xml:space="preserve"> laborers.”</w:t>
      </w:r>
      <w:r w:rsidR="00FF6C3A">
        <w:rPr>
          <w:rFonts w:eastAsia="Times New Roman"/>
        </w:rPr>
        <w:t xml:space="preserve">  </w:t>
      </w:r>
      <w:r w:rsidRPr="00CB2B94">
        <w:rPr>
          <w:rFonts w:eastAsia="Times New Roman"/>
        </w:rPr>
        <w:t>Note also the wimpy verbs “proved to be” and “became.”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17. Do not use nouns as verbs.</w:t>
      </w:r>
      <w:r w:rsidR="00FF6C3A">
        <w:rPr>
          <w:rFonts w:eastAsia="Times New Roman"/>
        </w:rPr>
        <w:t xml:space="preserve">  </w:t>
      </w:r>
      <w:r w:rsidRPr="00CB2B94">
        <w:rPr>
          <w:rFonts w:eastAsia="Times New Roman"/>
        </w:rPr>
        <w:t>Journalists frequently use that device to save space and cut down on words.</w:t>
      </w:r>
      <w:r w:rsidR="00FF6C3A">
        <w:rPr>
          <w:rFonts w:eastAsia="Times New Roman"/>
        </w:rPr>
        <w:t xml:space="preserve">  </w:t>
      </w:r>
      <w:r w:rsidRPr="00CB2B94">
        <w:rPr>
          <w:rFonts w:eastAsia="Times New Roman"/>
        </w:rPr>
        <w:t xml:space="preserve">Formal writing should not include nouns as verbs, a very common example being “His action </w:t>
      </w:r>
      <w:r w:rsidRPr="00CB2B94">
        <w:rPr>
          <w:rFonts w:eastAsia="Times New Roman"/>
          <w:b/>
        </w:rPr>
        <w:t>impacted</w:t>
      </w:r>
      <w:r w:rsidRPr="00CB2B94">
        <w:rPr>
          <w:rFonts w:eastAsia="Times New Roman"/>
        </w:rPr>
        <w:t xml:space="preserve"> the future of the children.”</w:t>
      </w:r>
      <w:r w:rsidR="00FF6C3A">
        <w:rPr>
          <w:rFonts w:eastAsia="Times New Roman"/>
        </w:rPr>
        <w:t xml:space="preserve">  </w:t>
      </w:r>
      <w:r w:rsidRPr="00CB2B94">
        <w:rPr>
          <w:rFonts w:eastAsia="Times New Roman"/>
        </w:rPr>
        <w:t>Another journalistic device you should avoid is the use of nouns as adjectives.</w:t>
      </w:r>
      <w:r w:rsidR="00FF6C3A">
        <w:rPr>
          <w:rFonts w:eastAsia="Times New Roman"/>
        </w:rPr>
        <w:t xml:space="preserve">  </w:t>
      </w:r>
      <w:r w:rsidRPr="00CB2B94">
        <w:rPr>
          <w:rFonts w:eastAsia="Times New Roman"/>
        </w:rPr>
        <w:t>For example: “a State Department spokesperson” or “my</w:t>
      </w:r>
      <w:r w:rsidR="00CF1F54">
        <w:rPr>
          <w:rFonts w:eastAsia="Times New Roman"/>
        </w:rPr>
        <w:t xml:space="preserve"> wrestler father can whip your </w:t>
      </w:r>
      <w:r w:rsidRPr="00CB2B94">
        <w:rPr>
          <w:rFonts w:eastAsia="Times New Roman"/>
        </w:rPr>
        <w:t>musician father any day.”</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18. Know when to use “which” and when to use “that.”</w:t>
      </w:r>
      <w:r w:rsidR="00FF6C3A">
        <w:rPr>
          <w:rFonts w:eastAsia="Times New Roman"/>
        </w:rPr>
        <w:t xml:space="preserve">  </w:t>
      </w:r>
      <w:r w:rsidRPr="00CB2B94">
        <w:rPr>
          <w:rFonts w:eastAsia="Times New Roman"/>
        </w:rPr>
        <w:t xml:space="preserve">Avoid using “which” very </w:t>
      </w:r>
      <w:proofErr w:type="gramStart"/>
      <w:r w:rsidRPr="00CB2B94">
        <w:rPr>
          <w:rFonts w:eastAsia="Times New Roman"/>
        </w:rPr>
        <w:t>much,</w:t>
      </w:r>
      <w:proofErr w:type="gramEnd"/>
      <w:r w:rsidRPr="00CB2B94">
        <w:rPr>
          <w:rFonts w:eastAsia="Times New Roman"/>
        </w:rPr>
        <w:t xml:space="preserve"> though remember that there must almost always be a comma after the word preceding it, whereas one does not use a comma before the word preceding “that.”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19. When you first mention the name of a person, be sure to include the given name as well as the surname.</w:t>
      </w:r>
      <w:r w:rsidR="00FF6C3A">
        <w:rPr>
          <w:rFonts w:eastAsia="Times New Roman"/>
        </w:rPr>
        <w:t xml:space="preserve">  </w:t>
      </w:r>
      <w:r w:rsidRPr="00CB2B94">
        <w:rPr>
          <w:rFonts w:eastAsia="Times New Roman"/>
        </w:rPr>
        <w:t>Include also the birth and death dates in parentheses next to the name at first mention, but only for key figures pertinent to your narrative.</w:t>
      </w:r>
      <w:r w:rsidR="00FF6C3A">
        <w:rPr>
          <w:rFonts w:eastAsia="Times New Roman"/>
        </w:rPr>
        <w:t xml:space="preserve">  </w:t>
      </w:r>
      <w:r w:rsidRPr="00CB2B94">
        <w:rPr>
          <w:rFonts w:eastAsia="Times New Roman"/>
        </w:rPr>
        <w:t>Subsequent references to the person usually do not require the first name unless you need to be clear because your paper includes more than one person with the same surname.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20. Avoid excessive use of capital letters.</w:t>
      </w:r>
      <w:r w:rsidR="00FF6C3A">
        <w:rPr>
          <w:rFonts w:eastAsia="Times New Roman"/>
        </w:rPr>
        <w:t xml:space="preserve">  </w:t>
      </w:r>
      <w:r w:rsidRPr="00CB2B94">
        <w:rPr>
          <w:rFonts w:eastAsia="Times New Roman"/>
        </w:rPr>
        <w:t>Capitalize only what your secondary sources capitalize, unless you are quoting from primary sources.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21. Do not develop a paragraph using a “first, second, third” construction.</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22. Strive for gender neutral language except when describing the realities of an earlier time.</w:t>
      </w:r>
      <w:r w:rsidR="00FF6C3A">
        <w:rPr>
          <w:rFonts w:eastAsia="Times New Roman"/>
        </w:rPr>
        <w:t xml:space="preserve">  </w:t>
      </w:r>
      <w:r w:rsidRPr="00CB2B94">
        <w:rPr>
          <w:rFonts w:eastAsia="Times New Roman"/>
        </w:rPr>
        <w:t>For example, today a man or a woman can operate in politics and thus be a chair</w:t>
      </w:r>
      <w:r w:rsidRPr="00CB2B94">
        <w:rPr>
          <w:rFonts w:eastAsia="Times New Roman"/>
          <w:i/>
        </w:rPr>
        <w:t>person</w:t>
      </w:r>
      <w:r w:rsidRPr="00CB2B94">
        <w:rPr>
          <w:rFonts w:eastAsia="Times New Roman"/>
        </w:rPr>
        <w:t xml:space="preserve"> or spokes</w:t>
      </w:r>
      <w:r w:rsidRPr="00CB2B94">
        <w:rPr>
          <w:rFonts w:eastAsia="Times New Roman"/>
          <w:i/>
        </w:rPr>
        <w:t>person</w:t>
      </w:r>
      <w:r w:rsidRPr="00CB2B94">
        <w:rPr>
          <w:rFonts w:eastAsia="Times New Roman"/>
        </w:rPr>
        <w:t>, whereas in the nineteenth century such would not be case, and then one should write about chair</w:t>
      </w:r>
      <w:r w:rsidRPr="00CB2B94">
        <w:rPr>
          <w:rFonts w:eastAsia="Times New Roman"/>
          <w:i/>
        </w:rPr>
        <w:t>men</w:t>
      </w:r>
      <w:r w:rsidRPr="00CB2B94">
        <w:rPr>
          <w:rFonts w:eastAsia="Times New Roman"/>
        </w:rPr>
        <w:t xml:space="preserve"> and spokes</w:t>
      </w:r>
      <w:r w:rsidRPr="00CB2B94">
        <w:rPr>
          <w:rFonts w:eastAsia="Times New Roman"/>
          <w:i/>
        </w:rPr>
        <w:t>men</w:t>
      </w:r>
      <w:r w:rsidRPr="00CB2B94">
        <w:rPr>
          <w:rFonts w:eastAsia="Times New Roman"/>
        </w:rPr>
        <w:t>.</w:t>
      </w:r>
      <w:r w:rsidR="00FF6C3A">
        <w:rPr>
          <w:rFonts w:eastAsia="Times New Roman"/>
        </w:rPr>
        <w:t xml:space="preserve">  </w:t>
      </w:r>
      <w:r w:rsidRPr="00CB2B94">
        <w:rPr>
          <w:rFonts w:eastAsia="Times New Roman"/>
        </w:rPr>
        <w:t>However, it is antiquated to refer to countries or naval ships using feminine pronouns like “she” and “her.”</w:t>
      </w:r>
      <w:r w:rsidR="00FF6C3A">
        <w:rPr>
          <w:rFonts w:eastAsia="Times New Roman"/>
        </w:rPr>
        <w:t xml:space="preserve">  </w:t>
      </w:r>
      <w:r w:rsidRPr="00CB2B94">
        <w:rPr>
          <w:rFonts w:eastAsia="Times New Roman"/>
        </w:rPr>
        <w:t>Do not do it.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23. </w:t>
      </w:r>
      <w:proofErr w:type="gramStart"/>
      <w:r w:rsidRPr="00CB2B94">
        <w:rPr>
          <w:rFonts w:eastAsia="Times New Roman"/>
        </w:rPr>
        <w:t>Be</w:t>
      </w:r>
      <w:proofErr w:type="gramEnd"/>
      <w:r w:rsidRPr="00CB2B94">
        <w:rPr>
          <w:rFonts w:eastAsia="Times New Roman"/>
        </w:rPr>
        <w:t xml:space="preserve"> consistent with your use of dates.</w:t>
      </w:r>
      <w:r w:rsidR="00FF6C3A">
        <w:rPr>
          <w:rFonts w:eastAsia="Times New Roman"/>
        </w:rPr>
        <w:t xml:space="preserve">  </w:t>
      </w:r>
      <w:r w:rsidRPr="00CB2B94">
        <w:rPr>
          <w:rFonts w:eastAsia="Times New Roman"/>
        </w:rPr>
        <w:t>Do not mix “28 May 1754” with “May 28, 1754.”</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24. Spell out numbers from one to ninety-nine, and use ordinals for numbers 100, 1,000, 10,000, etc.</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25. You are advised to use the form “a historian,” which has replaced the antiquated phrase “an historian.”</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26. Begin immediately to keep your own style sheet of commonly made mistakes.</w:t>
      </w:r>
      <w:r w:rsidR="00FF6C3A">
        <w:rPr>
          <w:rFonts w:eastAsia="Times New Roman"/>
        </w:rPr>
        <w:t xml:space="preserve">  </w:t>
      </w:r>
      <w:r w:rsidRPr="00CB2B94">
        <w:rPr>
          <w:rFonts w:eastAsia="Times New Roman"/>
        </w:rPr>
        <w:t>Include on your list the manner in which you will write certain titles or names that you use often, so you can assure consistency of use.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Regarding punctuation . . .</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1. </w:t>
      </w:r>
      <w:proofErr w:type="gramStart"/>
      <w:r w:rsidRPr="00CB2B94">
        <w:rPr>
          <w:rFonts w:eastAsia="Times New Roman"/>
        </w:rPr>
        <w:t>Be</w:t>
      </w:r>
      <w:proofErr w:type="gramEnd"/>
      <w:r w:rsidRPr="00CB2B94">
        <w:rPr>
          <w:rFonts w:eastAsia="Times New Roman"/>
        </w:rPr>
        <w:t xml:space="preserve"> sure to put a second comma after the year when writing a date.</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The Battle of Saratoga began on October 7, 1777, around mid-morning.</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The Battle of Saratoga began on 7 October 1777 around mid-</w:t>
      </w:r>
      <w:r w:rsidRPr="00CB2B94">
        <w:rPr>
          <w:rFonts w:eastAsia="Times New Roman"/>
        </w:rPr>
        <w:tab/>
        <w:t>morning.</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The Battle of Saratoga b</w:t>
      </w:r>
      <w:r w:rsidR="00CF1F54">
        <w:rPr>
          <w:rFonts w:eastAsia="Times New Roman"/>
        </w:rPr>
        <w:t xml:space="preserve">egan on October 7, 1777 around </w:t>
      </w:r>
      <w:r w:rsidRPr="00CB2B94">
        <w:rPr>
          <w:rFonts w:eastAsia="Times New Roman"/>
        </w:rPr>
        <w:t>mid-morning.</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2. </w:t>
      </w:r>
      <w:proofErr w:type="gramStart"/>
      <w:r w:rsidRPr="00CB2B94">
        <w:rPr>
          <w:rFonts w:eastAsia="Times New Roman"/>
        </w:rPr>
        <w:t>Be</w:t>
      </w:r>
      <w:proofErr w:type="gramEnd"/>
      <w:r w:rsidRPr="00CB2B94">
        <w:rPr>
          <w:rFonts w:eastAsia="Times New Roman"/>
        </w:rPr>
        <w:t xml:space="preserve"> sure to put a second comma when identifying a city and state.</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 xml:space="preserve">Correct: </w:t>
      </w:r>
      <w:r w:rsidRPr="00CB2B94">
        <w:rPr>
          <w:rFonts w:eastAsia="Times New Roman"/>
        </w:rPr>
        <w:t>I moved to Sulphur Springs, Texas, in 2003.</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I moved to Sulphur Springs, Texas in 2003.</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3. A comma should go before the coordinating conjunction between two independent clauses.</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The crowd screamed loudly f</w:t>
      </w:r>
      <w:r w:rsidR="00CF1F54">
        <w:rPr>
          <w:rFonts w:eastAsia="Times New Roman"/>
        </w:rPr>
        <w:t xml:space="preserve">or their team, and the players </w:t>
      </w:r>
      <w:r w:rsidRPr="00CB2B94">
        <w:rPr>
          <w:rFonts w:eastAsia="Times New Roman"/>
        </w:rPr>
        <w:t>won the game.</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The crowd screamed loudly for their t</w:t>
      </w:r>
      <w:r w:rsidR="00CF1F54">
        <w:rPr>
          <w:rFonts w:eastAsia="Times New Roman"/>
        </w:rPr>
        <w:t xml:space="preserve">eam and the players </w:t>
      </w:r>
      <w:r w:rsidRPr="00CB2B94">
        <w:rPr>
          <w:rFonts w:eastAsia="Times New Roman"/>
        </w:rPr>
        <w:t>won the game.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4. Do NOT place a comma before the conjunction if the clauses are not independent clauses.</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The student worked hard and made the top score in all of her </w:t>
      </w:r>
      <w:r w:rsidRPr="00CB2B94">
        <w:rPr>
          <w:rFonts w:eastAsia="Times New Roman"/>
        </w:rPr>
        <w:tab/>
        <w:t>classes.</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The student worked hard, and made th</w:t>
      </w:r>
      <w:r w:rsidR="00CF1F54">
        <w:rPr>
          <w:rFonts w:eastAsia="Times New Roman"/>
        </w:rPr>
        <w:t xml:space="preserve">e top score in all of her </w:t>
      </w:r>
      <w:r w:rsidRPr="00CB2B94">
        <w:rPr>
          <w:rFonts w:eastAsia="Times New Roman"/>
        </w:rPr>
        <w:t>classes.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5. Book titles and names of journals, magazines, and newspapers should be </w:t>
      </w:r>
      <w:r w:rsidRPr="00CB2B94">
        <w:rPr>
          <w:rFonts w:eastAsia="Times New Roman"/>
          <w:i/>
        </w:rPr>
        <w:t>italicized</w:t>
      </w:r>
      <w:r w:rsidRPr="00CB2B94">
        <w:rPr>
          <w:rFonts w:eastAsia="Times New Roman"/>
        </w:rPr>
        <w:t xml:space="preserve">, </w:t>
      </w:r>
      <w:r w:rsidRPr="00CB2B94">
        <w:rPr>
          <w:rFonts w:eastAsia="Times New Roman"/>
          <w:b/>
        </w:rPr>
        <w:t>not</w:t>
      </w:r>
      <w:r w:rsidRPr="00CB2B94">
        <w:rPr>
          <w:rFonts w:eastAsia="Times New Roman"/>
        </w:rPr>
        <w:t xml:space="preserve"> </w:t>
      </w:r>
      <w:r w:rsidRPr="00CB2B94">
        <w:rPr>
          <w:rFonts w:eastAsia="Times New Roman"/>
          <w:u w:val="single"/>
        </w:rPr>
        <w:t>underscored</w:t>
      </w:r>
      <w:r w:rsidRPr="00CB2B94">
        <w:rPr>
          <w:rFonts w:eastAsia="Times New Roman"/>
        </w:rPr>
        <w: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lastRenderedPageBreak/>
        <w:t>6. Place periods and commas inside quotation marks (the rule in American usage).</w:t>
      </w:r>
      <w:r w:rsidR="00FF6C3A">
        <w:rPr>
          <w:rFonts w:eastAsia="Times New Roman"/>
        </w:rPr>
        <w:t xml:space="preserve">  </w:t>
      </w:r>
      <w:r w:rsidRPr="00CB2B94">
        <w:rPr>
          <w:rFonts w:eastAsia="Times New Roman"/>
        </w:rPr>
        <w:t>For example, “If we lived in Great Britain,” Professor Smith noted, “the opposite would be true.”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vertAlign w:val="superscript"/>
        </w:rPr>
      </w:pPr>
      <w:r w:rsidRPr="00CB2B94">
        <w:rPr>
          <w:rFonts w:eastAsia="Times New Roman"/>
        </w:rPr>
        <w:t>7. Place footnote or endnote numbers outside quotes in the text.</w:t>
      </w:r>
      <w:r w:rsidR="00FF6C3A">
        <w:rPr>
          <w:rFonts w:eastAsia="Times New Roman"/>
        </w:rPr>
        <w:t xml:space="preserve">  </w:t>
      </w:r>
      <w:r w:rsidRPr="00CB2B94">
        <w:rPr>
          <w:rFonts w:eastAsia="Times New Roman"/>
        </w:rPr>
        <w:t>For example, “Professor Smith finds violations of this rule annoying.”</w:t>
      </w:r>
      <w:r w:rsidRPr="00CB2B94">
        <w:rPr>
          <w:rFonts w:eastAsia="Times New Roman"/>
          <w:vertAlign w:val="superscript"/>
        </w:rPr>
        <w:t>22</w:t>
      </w:r>
    </w:p>
    <w:p w:rsidR="00CB2B94" w:rsidRPr="00CB2B94" w:rsidRDefault="00CB2B94" w:rsidP="00CB2B94">
      <w:pPr>
        <w:autoSpaceDE w:val="0"/>
        <w:autoSpaceDN w:val="0"/>
        <w:adjustRightInd w:val="0"/>
        <w:spacing w:after="0"/>
        <w:ind w:left="965" w:right="720" w:hanging="245"/>
        <w:rPr>
          <w:rFonts w:eastAsia="Times New Roman"/>
          <w:vertAlign w:val="superscript"/>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8. Punctuation other than a period or comma (question marks, exclamation marks,</w:t>
      </w:r>
      <w:r w:rsidR="00CF1F54">
        <w:rPr>
          <w:rFonts w:eastAsia="Times New Roman"/>
        </w:rPr>
        <w:t xml:space="preserve"> and semicolons, for example) </w:t>
      </w:r>
      <w:proofErr w:type="gramStart"/>
      <w:r w:rsidR="00CF1F54">
        <w:rPr>
          <w:rFonts w:eastAsia="Times New Roman"/>
        </w:rPr>
        <w:t>belong</w:t>
      </w:r>
      <w:proofErr w:type="gramEnd"/>
      <w:r w:rsidRPr="00CB2B94">
        <w:rPr>
          <w:rFonts w:eastAsia="Times New Roman"/>
        </w:rPr>
        <w:t xml:space="preserve"> outside the quotation marks unless they are part of the quoted phrase.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9. “It’s” is a contraction for “it is.”</w:t>
      </w:r>
      <w:r w:rsidR="00FF6C3A">
        <w:rPr>
          <w:rFonts w:eastAsia="Times New Roman"/>
        </w:rPr>
        <w:t xml:space="preserve">  </w:t>
      </w:r>
      <w:r w:rsidRPr="00CB2B94">
        <w:rPr>
          <w:rFonts w:eastAsia="Times New Roman"/>
        </w:rPr>
        <w:t>The possessive form of “it” is “its.”</w:t>
      </w:r>
    </w:p>
    <w:p w:rsidR="00CB2B94" w:rsidRPr="00CB2B94" w:rsidRDefault="00CB2B94" w:rsidP="00CB2B94">
      <w:pPr>
        <w:autoSpaceDE w:val="0"/>
        <w:autoSpaceDN w:val="0"/>
        <w:adjustRightInd w:val="0"/>
        <w:spacing w:after="0"/>
        <w:ind w:left="965" w:right="720" w:hanging="245"/>
        <w:rPr>
          <w:rFonts w:eastAsia="Times New Roman"/>
        </w:rPr>
      </w:pPr>
    </w:p>
    <w:p w:rsidR="00CB2B94" w:rsidRDefault="00CB2B94" w:rsidP="00CB2B94">
      <w:pPr>
        <w:autoSpaceDE w:val="0"/>
        <w:autoSpaceDN w:val="0"/>
        <w:adjustRightInd w:val="0"/>
        <w:spacing w:after="0"/>
        <w:ind w:left="965" w:right="720" w:hanging="245"/>
        <w:rPr>
          <w:rFonts w:eastAsia="Times New Roman"/>
        </w:rPr>
      </w:pPr>
      <w:r w:rsidRPr="00CB2B94">
        <w:rPr>
          <w:rFonts w:eastAsia="Times New Roman"/>
        </w:rPr>
        <w:t>10. Do not italicize “et al.,” which means “and others” in Latin, and is used when one does not wish to give the names of all of the authors of a work that has more than three authors.</w:t>
      </w:r>
    </w:p>
    <w:p w:rsidR="003617DC" w:rsidRPr="00CB2B94" w:rsidRDefault="003617DC"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11. </w:t>
      </w:r>
      <w:proofErr w:type="gramStart"/>
      <w:r w:rsidRPr="00CB2B94">
        <w:rPr>
          <w:rFonts w:eastAsia="Times New Roman"/>
        </w:rPr>
        <w:t>In</w:t>
      </w:r>
      <w:proofErr w:type="gramEnd"/>
      <w:r w:rsidRPr="00CB2B94">
        <w:rPr>
          <w:rFonts w:eastAsia="Times New Roman"/>
        </w:rPr>
        <w:t xml:space="preserve"> describing decades use 1950s, not 1950’s.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12. For times, use 10:00 a.m</w:t>
      </w:r>
      <w:proofErr w:type="gramStart"/>
      <w:r w:rsidRPr="00CB2B94">
        <w:rPr>
          <w:rFonts w:eastAsia="Times New Roman"/>
        </w:rPr>
        <w:t>./</w:t>
      </w:r>
      <w:proofErr w:type="gramEnd"/>
      <w:r w:rsidRPr="00CB2B94">
        <w:rPr>
          <w:rFonts w:eastAsia="Times New Roman"/>
        </w:rPr>
        <w:t>p.m. or 10 a.m./p.m.</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13. When describing a season of the year, use “spring, 1771,” not “spring of 1771.”</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14. When citing a newspaper, include the place of publication if the possibility for confusion exists.</w:t>
      </w:r>
      <w:r w:rsidR="00FF6C3A">
        <w:rPr>
          <w:rFonts w:eastAsia="Times New Roman"/>
        </w:rPr>
        <w:t xml:space="preserve">  </w:t>
      </w:r>
      <w:r w:rsidRPr="00CB2B94">
        <w:rPr>
          <w:rFonts w:eastAsia="Times New Roman"/>
        </w:rPr>
        <w:t xml:space="preserve">For example, use </w:t>
      </w:r>
      <w:r w:rsidRPr="00CB2B94">
        <w:rPr>
          <w:rFonts w:eastAsia="Times New Roman"/>
          <w:i/>
        </w:rPr>
        <w:t>Richmond Gazette</w:t>
      </w:r>
      <w:r w:rsidRPr="00CB2B94">
        <w:rPr>
          <w:rFonts w:eastAsia="Times New Roman"/>
        </w:rPr>
        <w:t xml:space="preserve"> (Ga.) if you do not mean the </w:t>
      </w:r>
      <w:r w:rsidRPr="00CB2B94">
        <w:rPr>
          <w:rFonts w:eastAsia="Times New Roman"/>
          <w:i/>
        </w:rPr>
        <w:t>Richmond Gazette</w:t>
      </w:r>
      <w:r w:rsidRPr="00CB2B94">
        <w:rPr>
          <w:rFonts w:eastAsia="Times New Roman"/>
        </w:rPr>
        <w:t xml:space="preserve"> that was published in Virginia.</w:t>
      </w:r>
      <w:r w:rsidR="00FF6C3A">
        <w:rPr>
          <w:rFonts w:eastAsia="Times New Roman"/>
        </w:rPr>
        <w:t xml:space="preserve">  </w:t>
      </w:r>
      <w:r w:rsidRPr="00CB2B94">
        <w:rPr>
          <w:rFonts w:eastAsia="Times New Roman"/>
        </w:rPr>
        <w:t xml:space="preserve">However, when it is obvious it is not necessary, as in the </w:t>
      </w:r>
      <w:r w:rsidRPr="00CB2B94">
        <w:rPr>
          <w:rFonts w:eastAsia="Times New Roman"/>
          <w:i/>
        </w:rPr>
        <w:t>Cleveland Plain Dealer</w:t>
      </w:r>
      <w:r w:rsidRPr="00CB2B94">
        <w:rPr>
          <w:rFonts w:eastAsia="Times New Roman"/>
        </w:rPr>
        <w:t xml:space="preserve"> or the </w:t>
      </w:r>
      <w:r w:rsidRPr="00CB2B94">
        <w:rPr>
          <w:rFonts w:eastAsia="Times New Roman"/>
          <w:i/>
        </w:rPr>
        <w:t>Daily Oregonian</w:t>
      </w:r>
      <w:r w:rsidRPr="00CB2B94">
        <w:rPr>
          <w:rFonts w:eastAsia="Times New Roman"/>
        </w:rPr>
        <w:t>.</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15. When abbreviating countries with compound names, such as the United States of America or the Union of Soviet Socialist Republics, it is necessary to use periods, but not spacing between the letters.</w:t>
      </w:r>
      <w:r w:rsidR="00FF6C3A">
        <w:rPr>
          <w:rFonts w:eastAsia="Times New Roman"/>
        </w:rPr>
        <w:t xml:space="preserve">  </w:t>
      </w:r>
      <w:r w:rsidRPr="00CB2B94">
        <w:rPr>
          <w:rFonts w:eastAsia="Times New Roman"/>
        </w:rPr>
        <w:t>The same goes for the initials of government agencies.</w:t>
      </w:r>
      <w:r w:rsidR="00FF6C3A">
        <w:rPr>
          <w:rFonts w:eastAsia="Times New Roman"/>
        </w:rPr>
        <w:t xml:space="preserve">  </w:t>
      </w:r>
      <w:r w:rsidRPr="00CB2B94">
        <w:rPr>
          <w:rFonts w:eastAsia="Times New Roman"/>
        </w:rPr>
        <w:t>The exception is if an acronym is employed, especially with regard to social and political organizations, and pieces of military hardware.</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U.S.A. and U.S.S.R.</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USA and USSR, or U. S. A. and U. S. S. R.</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AWAC planes and PETA members</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A.W.A.C. planes and P.E.T.A. members</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16. Capitalize a title used directly before a name, but otherwise do not do so.</w:t>
      </w:r>
      <w:r w:rsidR="00FF6C3A">
        <w:rPr>
          <w:rFonts w:eastAsia="Times New Roman"/>
        </w:rPr>
        <w:t xml:space="preserve">  </w:t>
      </w:r>
      <w:r w:rsidRPr="00CB2B94">
        <w:rPr>
          <w:rFonts w:eastAsia="Times New Roman"/>
        </w:rPr>
        <w:t>For example, “President James Madison was a protégé of former president Thomas Jefferson.”</w:t>
      </w:r>
      <w:r w:rsidR="00FF6C3A">
        <w:rPr>
          <w:rFonts w:eastAsia="Times New Roman"/>
        </w:rPr>
        <w:t xml:space="preserve">  </w:t>
      </w:r>
      <w:r w:rsidRPr="00CB2B94">
        <w:rPr>
          <w:rFonts w:eastAsia="Times New Roman"/>
        </w:rPr>
        <w:t>Also, “King Louis XVI enjoyed the privileges, but not the governing duties of being king of France.”</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17. When discussing money, use “$175” instead of “$175.00,” and with regard to large amounts, avoid the temptation to use 0s.</w:t>
      </w:r>
      <w:r w:rsidR="00FF6C3A">
        <w:rPr>
          <w:rFonts w:eastAsia="Times New Roman"/>
        </w:rPr>
        <w:t xml:space="preserve">  </w:t>
      </w:r>
      <w:r w:rsidRPr="00CB2B94">
        <w:rPr>
          <w:rFonts w:eastAsia="Times New Roman"/>
        </w:rPr>
        <w:t>“£145 million” is better than “£145,000,000.”</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18. When citing birth and death dates, as well as dates for events or phenomena that stretch over a series of years, use (1775-83) rather than (1775-1783).</w:t>
      </w:r>
      <w:r w:rsidR="00FF6C3A">
        <w:rPr>
          <w:rFonts w:eastAsia="Times New Roman"/>
        </w:rPr>
        <w:t xml:space="preserve">  </w:t>
      </w:r>
      <w:r w:rsidRPr="00CB2B94">
        <w:rPr>
          <w:rFonts w:eastAsia="Times New Roman"/>
        </w:rPr>
        <w:t>The lone exception would appear in the title of your paper if such a date is used, for example:</w:t>
      </w:r>
      <w:r w:rsidR="00FF6C3A">
        <w:rPr>
          <w:rFonts w:eastAsia="Times New Roman"/>
        </w:rPr>
        <w:t xml:space="preserve">  </w:t>
      </w:r>
      <w:r w:rsidRPr="00CB2B94">
        <w:rPr>
          <w:rFonts w:eastAsia="Times New Roman"/>
        </w:rPr>
        <w:t>“New Light Newspaper Polemics in Connecticut, 1739-1745.”</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 xml:space="preserve">19. </w:t>
      </w:r>
      <w:proofErr w:type="gramStart"/>
      <w:r w:rsidRPr="00CB2B94">
        <w:rPr>
          <w:rFonts w:eastAsia="Times New Roman"/>
        </w:rPr>
        <w:t>Be</w:t>
      </w:r>
      <w:proofErr w:type="gramEnd"/>
      <w:r w:rsidRPr="00CB2B94">
        <w:rPr>
          <w:rFonts w:eastAsia="Times New Roman"/>
        </w:rPr>
        <w:t xml:space="preserve"> precise when giving people’s names, especially when dealing with fathers and their sons</w:t>
      </w:r>
      <w:r w:rsidR="003617DC">
        <w:rPr>
          <w:rFonts w:eastAsia="Times New Roman"/>
        </w:rPr>
        <w:t>.</w:t>
      </w:r>
      <w:r w:rsidR="00FF6C3A">
        <w:rPr>
          <w:rFonts w:eastAsia="Times New Roman"/>
        </w:rPr>
        <w:t xml:space="preserve">  </w:t>
      </w:r>
      <w:r w:rsidRPr="00CB2B94">
        <w:rPr>
          <w:rFonts w:eastAsia="Times New Roman"/>
        </w:rPr>
        <w:t>Follow what other historians use, and when naming historians in your notes and bibliographies, use what appears on the dust jacket or front cover.</w:t>
      </w:r>
    </w:p>
    <w:p w:rsidR="00CB2B94" w:rsidRPr="00CB2B94" w:rsidRDefault="00CB2B94" w:rsidP="00CB2B94">
      <w:pPr>
        <w:autoSpaceDE w:val="0"/>
        <w:autoSpaceDN w:val="0"/>
        <w:adjustRightInd w:val="0"/>
        <w:spacing w:after="0"/>
        <w:ind w:left="965" w:right="720" w:hanging="245"/>
        <w:rPr>
          <w:rFonts w:eastAsia="Times New Roman"/>
        </w:rPr>
      </w:pP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20. When deleting bits of text in a quotation, one uses periods of ellipsis to indicate the omission.</w:t>
      </w:r>
      <w:r w:rsidR="00FF6C3A">
        <w:rPr>
          <w:rFonts w:eastAsia="Times New Roman"/>
        </w:rPr>
        <w:t xml:space="preserve">  </w:t>
      </w:r>
      <w:r w:rsidRPr="00CB2B94">
        <w:rPr>
          <w:rFonts w:eastAsia="Times New Roman"/>
        </w:rPr>
        <w:t>There must be a space between each period, as well as from the words preceding and proceeding from the ellipsis.</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“The nature of this offense . . . is beyond imagination.”</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“The nature of the offense…is beyond imagination.”</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t>Sometimes one will end a sentence with a quotation at which the periods of ellipsis appear at the end, in which case an additional period must close the sentence normally.</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Correct:</w:t>
      </w:r>
      <w:r w:rsidRPr="00CB2B94">
        <w:rPr>
          <w:rFonts w:eastAsia="Times New Roman"/>
        </w:rPr>
        <w:t xml:space="preserve"> “Lord </w:t>
      </w:r>
      <w:proofErr w:type="spellStart"/>
      <w:r w:rsidRPr="00CB2B94">
        <w:rPr>
          <w:rFonts w:eastAsia="Times New Roman"/>
        </w:rPr>
        <w:t>Cornbury</w:t>
      </w:r>
      <w:proofErr w:type="spellEnd"/>
      <w:r w:rsidRPr="00CB2B94">
        <w:rPr>
          <w:rFonts w:eastAsia="Times New Roman"/>
        </w:rPr>
        <w:t xml:space="preserve"> would oft</w:t>
      </w:r>
      <w:r w:rsidR="003617DC">
        <w:rPr>
          <w:rFonts w:eastAsia="Times New Roman"/>
        </w:rPr>
        <w:t xml:space="preserve">en don the garb of a woman and </w:t>
      </w:r>
      <w:r w:rsidRPr="00CB2B94">
        <w:rPr>
          <w:rFonts w:eastAsia="Times New Roman"/>
        </w:rPr>
        <w:t>stand upon his balcony in public. . . .”</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r w:rsidRPr="00CB2B94">
        <w:rPr>
          <w:rFonts w:eastAsia="Times New Roman"/>
          <w:i/>
        </w:rPr>
        <w:t>Incorrect:</w:t>
      </w:r>
      <w:r w:rsidRPr="00CB2B94">
        <w:rPr>
          <w:rFonts w:eastAsia="Times New Roman"/>
        </w:rPr>
        <w:t xml:space="preserve"> “Lord </w:t>
      </w:r>
      <w:proofErr w:type="spellStart"/>
      <w:r w:rsidRPr="00CB2B94">
        <w:rPr>
          <w:rFonts w:eastAsia="Times New Roman"/>
        </w:rPr>
        <w:t>Cornbury</w:t>
      </w:r>
      <w:proofErr w:type="spellEnd"/>
      <w:r w:rsidRPr="00CB2B94">
        <w:rPr>
          <w:rFonts w:eastAsia="Times New Roman"/>
        </w:rPr>
        <w:t xml:space="preserve"> would o</w:t>
      </w:r>
      <w:r w:rsidR="003617DC">
        <w:rPr>
          <w:rFonts w:eastAsia="Times New Roman"/>
        </w:rPr>
        <w:t xml:space="preserve">ften don the garb of a woman and </w:t>
      </w:r>
      <w:r w:rsidRPr="00CB2B94">
        <w:rPr>
          <w:rFonts w:eastAsia="Times New Roman"/>
        </w:rPr>
        <w:t>stand upon his balcony in public . . . .”</w:t>
      </w:r>
    </w:p>
    <w:p w:rsidR="00CB2B94" w:rsidRPr="00CB2B94" w:rsidRDefault="00CB2B94" w:rsidP="00CB2B94">
      <w:pPr>
        <w:autoSpaceDE w:val="0"/>
        <w:autoSpaceDN w:val="0"/>
        <w:adjustRightInd w:val="0"/>
        <w:spacing w:after="0"/>
        <w:ind w:left="965" w:right="720" w:hanging="245"/>
        <w:rPr>
          <w:rFonts w:eastAsia="Times New Roman"/>
        </w:rPr>
      </w:pPr>
      <w:r w:rsidRPr="00CB2B94">
        <w:rPr>
          <w:rFonts w:eastAsia="Times New Roman"/>
        </w:rPr>
        <w:tab/>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Neglect of these basic “nuts and bolts” concerns is what can do the most damage to a paper, regardless of the quality of the ideas within.</w:t>
      </w:r>
      <w:r w:rsidR="00FF6C3A">
        <w:rPr>
          <w:rFonts w:eastAsia="Times New Roman"/>
        </w:rPr>
        <w:t xml:space="preserve">  </w:t>
      </w:r>
      <w:r w:rsidRPr="00CB2B94">
        <w:rPr>
          <w:rFonts w:eastAsia="Times New Roman"/>
        </w:rPr>
        <w:t>It is important that one have good, insightful ideas, but even more important that one express them in a clean, precise manner indicating a keen intelligence.</w:t>
      </w:r>
    </w:p>
    <w:p w:rsidR="00D90BFB" w:rsidRPr="00CF1F54" w:rsidRDefault="00CB2B94" w:rsidP="00CB2B94">
      <w:pPr>
        <w:spacing w:after="0" w:line="480" w:lineRule="auto"/>
        <w:contextualSpacing/>
      </w:pPr>
      <w:r w:rsidRPr="00CF1F54">
        <w:t xml:space="preserve"> </w:t>
      </w:r>
    </w:p>
    <w:p w:rsidR="00A10E91" w:rsidRPr="00CF1F54" w:rsidRDefault="00CB2B94" w:rsidP="00CB2B94">
      <w:pPr>
        <w:spacing w:after="0" w:line="480" w:lineRule="auto"/>
        <w:contextualSpacing/>
      </w:pPr>
      <w:r w:rsidRPr="00CF1F54">
        <w:rPr>
          <w:b/>
        </w:rPr>
        <w:t>VIII</w:t>
      </w:r>
      <w:r w:rsidR="00AD0F60">
        <w:rPr>
          <w:b/>
        </w:rPr>
        <w:t>.</w:t>
      </w:r>
      <w:r w:rsidRPr="00CF1F54">
        <w:rPr>
          <w:b/>
        </w:rPr>
        <w:tab/>
      </w:r>
      <w:r w:rsidR="00A10E91" w:rsidRPr="00CF1F54">
        <w:rPr>
          <w:b/>
        </w:rPr>
        <w:t>Advanced Mechanics</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Perhaps no point of English grammar is more controversial than passive voice.</w:t>
      </w:r>
      <w:r w:rsidR="00FF6C3A">
        <w:rPr>
          <w:rFonts w:eastAsia="Times New Roman"/>
        </w:rPr>
        <w:t xml:space="preserve">  </w:t>
      </w:r>
      <w:r w:rsidRPr="00CB2B94">
        <w:rPr>
          <w:rFonts w:eastAsia="Times New Roman"/>
        </w:rPr>
        <w:t>In American usage, passive voice is considered weak, reducing people and events to an inability to influence what happens; as though people and events are directed by impersonal—perhaps divine—forces beyond anyone’s control.</w:t>
      </w:r>
      <w:r w:rsidR="00FF6C3A">
        <w:rPr>
          <w:rFonts w:eastAsia="Times New Roman"/>
        </w:rPr>
        <w:t xml:space="preserve">  </w:t>
      </w:r>
      <w:r w:rsidRPr="00CB2B94">
        <w:rPr>
          <w:rFonts w:eastAsia="Times New Roman"/>
        </w:rPr>
        <w:t>It also gives an impression that inanimate objects are somehow capable of independent action or volition.</w:t>
      </w:r>
      <w:r w:rsidR="00FF6C3A">
        <w:rPr>
          <w:rFonts w:eastAsia="Times New Roman"/>
        </w:rPr>
        <w:t xml:space="preserve">  </w:t>
      </w:r>
      <w:r w:rsidRPr="00CB2B94">
        <w:rPr>
          <w:rFonts w:eastAsia="Times New Roman"/>
        </w:rPr>
        <w:t>However, in British usage the passive voice is not so derided, though English grammarians urge caution in its use.</w:t>
      </w:r>
      <w:r w:rsidR="00FF6C3A">
        <w:rPr>
          <w:rFonts w:eastAsia="Times New Roman"/>
        </w:rPr>
        <w:t xml:space="preserve">  </w:t>
      </w:r>
      <w:r w:rsidRPr="00CB2B94">
        <w:rPr>
          <w:rFonts w:eastAsia="Times New Roman"/>
        </w:rPr>
        <w:t>In fact, as historians discussing past events, it is patently impossible to avoid using the passive voice at least a little bit!</w:t>
      </w:r>
      <w:r w:rsidR="00FF6C3A">
        <w:rPr>
          <w:rFonts w:eastAsia="Times New Roman"/>
        </w:rPr>
        <w:t xml:space="preserve">  </w:t>
      </w:r>
      <w:r w:rsidRPr="00CB2B94">
        <w:rPr>
          <w:rFonts w:eastAsia="Times New Roman"/>
        </w:rPr>
        <w:t>Nevertheless, the alternative of using the active voice is not a bad one to cultivate, though the emphasis in the United States on eradicating the passive voice in preference for the active voice borders on obsession.</w:t>
      </w:r>
      <w:r w:rsidR="00FF6C3A">
        <w:rPr>
          <w:rFonts w:eastAsia="Times New Roman"/>
        </w:rPr>
        <w:t xml:space="preserve">  </w:t>
      </w:r>
      <w:r w:rsidRPr="00CB2B94">
        <w:rPr>
          <w:rFonts w:eastAsia="Times New Roman"/>
        </w:rPr>
        <w:t>Americans project an image around the world as people of action, and thus their writing must be equally vigorous and devoid of any hints of weakness or vacillation.</w:t>
      </w:r>
      <w:r w:rsidR="00FF6C3A">
        <w:rPr>
          <w:rFonts w:eastAsia="Times New Roman"/>
        </w:rPr>
        <w:t xml:space="preserve">  </w:t>
      </w:r>
      <w:r w:rsidRPr="00CB2B94">
        <w:rPr>
          <w:rFonts w:eastAsia="Times New Roman"/>
        </w:rPr>
        <w:t>Now, none of this is to say that weak language is alright for you to use, but the passive voice is not something to fear or to avoid entirely.</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lastRenderedPageBreak/>
        <w:tab/>
        <w:t>What is the passive voice, after all?</w:t>
      </w:r>
      <w:r w:rsidR="00FF6C3A">
        <w:rPr>
          <w:rFonts w:eastAsia="Times New Roman"/>
        </w:rPr>
        <w:t xml:space="preserve">  </w:t>
      </w:r>
      <w:r w:rsidRPr="00CB2B94">
        <w:rPr>
          <w:rFonts w:eastAsia="Times New Roman"/>
        </w:rPr>
        <w:t>It is a form of sentence construction that tends to force the reader to reach the end of a sentence before learning the entire meaning of the sentence, and is usually made up of a form of the verb “to be,” followed by a verb in the past tense.</w:t>
      </w:r>
      <w:r w:rsidR="00FF6C3A">
        <w:rPr>
          <w:rFonts w:eastAsia="Times New Roman"/>
        </w:rPr>
        <w:t xml:space="preserve">  </w:t>
      </w:r>
      <w:r w:rsidRPr="00CB2B94">
        <w:rPr>
          <w:rFonts w:eastAsia="Times New Roman"/>
        </w:rPr>
        <w:t xml:space="preserve">For example: “The paper </w:t>
      </w:r>
      <w:r w:rsidRPr="00CB2B94">
        <w:rPr>
          <w:rFonts w:eastAsia="Times New Roman"/>
          <w:b/>
        </w:rPr>
        <w:t>was read</w:t>
      </w:r>
      <w:r w:rsidRPr="00CB2B94">
        <w:rPr>
          <w:rFonts w:eastAsia="Times New Roman"/>
        </w:rPr>
        <w:t xml:space="preserve"> by the girl” or “My first trip to Boston shall always </w:t>
      </w:r>
      <w:r w:rsidRPr="00CB2B94">
        <w:rPr>
          <w:rFonts w:eastAsia="Times New Roman"/>
          <w:b/>
        </w:rPr>
        <w:t>be remembered</w:t>
      </w:r>
      <w:r w:rsidRPr="00CB2B94">
        <w:rPr>
          <w:rFonts w:eastAsia="Times New Roman"/>
        </w:rPr>
        <w:t xml:space="preserve"> by me.”</w:t>
      </w:r>
      <w:r w:rsidR="00FF6C3A">
        <w:rPr>
          <w:rFonts w:eastAsia="Times New Roman"/>
        </w:rPr>
        <w:t xml:space="preserve">  </w:t>
      </w:r>
      <w:r w:rsidRPr="00CB2B94">
        <w:rPr>
          <w:rFonts w:eastAsia="Times New Roman"/>
        </w:rPr>
        <w:t>There are better ways to put these thoughts using the active voice: “The girl read the paper” and “I shall always remember my first trip to Boston.”</w:t>
      </w:r>
      <w:r w:rsidR="00FF6C3A">
        <w:rPr>
          <w:rFonts w:eastAsia="Times New Roman"/>
        </w:rPr>
        <w:t xml:space="preserve">  </w:t>
      </w:r>
      <w:r w:rsidRPr="00CB2B94">
        <w:rPr>
          <w:rFonts w:eastAsia="Times New Roman"/>
        </w:rPr>
        <w:t>Passive voice occurs when the subject of the sentence is not the entity performing the action, which is the verb.</w:t>
      </w:r>
      <w:r w:rsidR="00FF6C3A">
        <w:rPr>
          <w:rFonts w:eastAsia="Times New Roman"/>
        </w:rPr>
        <w:t xml:space="preserve">  </w:t>
      </w:r>
      <w:r w:rsidRPr="00CB2B94">
        <w:rPr>
          <w:rFonts w:eastAsia="Times New Roman"/>
        </w:rPr>
        <w:t>That is, the grammatical subject (the first part of any sentence) is not the “doer” of the action described by the verb.</w:t>
      </w:r>
      <w:r w:rsidR="00FF6C3A">
        <w:rPr>
          <w:rFonts w:eastAsia="Times New Roman"/>
        </w:rPr>
        <w:t xml:space="preserve">  </w:t>
      </w:r>
      <w:r w:rsidRPr="00CB2B94">
        <w:rPr>
          <w:rFonts w:eastAsia="Times New Roman"/>
        </w:rPr>
        <w:t>In the first example presented above, the paper is not the actor, but rather the girl, though the sentence in passive voice implies that it is the paper performing the action, which it obviously cannot.</w:t>
      </w:r>
      <w:r w:rsidR="00FF6C3A">
        <w:rPr>
          <w:rFonts w:eastAsia="Times New Roman"/>
        </w:rPr>
        <w:t xml:space="preserve">  </w:t>
      </w:r>
      <w:r w:rsidRPr="00CB2B94">
        <w:rPr>
          <w:rFonts w:eastAsia="Times New Roman"/>
        </w:rPr>
        <w:t>In your writing, make sure that the subjects of your sentences are the ones actually performing the actions described by your verbs.</w:t>
      </w:r>
      <w:r w:rsidR="00FF6C3A">
        <w:rPr>
          <w:rFonts w:eastAsia="Times New Roman"/>
        </w:rPr>
        <w:t xml:space="preserve">  </w:t>
      </w:r>
      <w:r w:rsidRPr="00CB2B94">
        <w:rPr>
          <w:rFonts w:eastAsia="Times New Roman"/>
        </w:rPr>
        <w:t>Passive voice sentences always ask the question, “By whom or by what?”</w:t>
      </w:r>
      <w:r w:rsidR="00FF6C3A">
        <w:rPr>
          <w:rFonts w:eastAsia="Times New Roman"/>
        </w:rPr>
        <w:t xml:space="preserve">  </w:t>
      </w:r>
      <w:r w:rsidRPr="00CB2B94">
        <w:rPr>
          <w:rFonts w:eastAsia="Times New Roman"/>
        </w:rPr>
        <w:t>Sometimes this question is answered, and sometimes it is not.</w:t>
      </w:r>
      <w:r w:rsidR="00FF6C3A">
        <w:rPr>
          <w:rFonts w:eastAsia="Times New Roman"/>
        </w:rPr>
        <w:t xml:space="preserve">  </w:t>
      </w:r>
      <w:r w:rsidRPr="00CB2B94">
        <w:rPr>
          <w:rFonts w:eastAsia="Times New Roman"/>
        </w:rPr>
        <w:t>The prepositional phrase “by _______” at the end of a sentence or independent clause is a big clue.</w:t>
      </w:r>
      <w:r w:rsidR="00FF6C3A">
        <w:rPr>
          <w:rFonts w:eastAsia="Times New Roman"/>
        </w:rPr>
        <w:t xml:space="preserve">  </w:t>
      </w:r>
      <w:r w:rsidRPr="00CB2B94">
        <w:rPr>
          <w:rFonts w:eastAsia="Times New Roman"/>
        </w:rPr>
        <w:t>If your sentence ends in “by” something or somebody, then you most likely have a passive sentence:</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 xml:space="preserve">Form of </w:t>
      </w:r>
      <w:r w:rsidRPr="00CB2B94">
        <w:rPr>
          <w:rFonts w:eastAsia="Times New Roman"/>
          <w:i/>
        </w:rPr>
        <w:t>to be</w:t>
      </w:r>
      <w:r w:rsidRPr="00CB2B94">
        <w:rPr>
          <w:rFonts w:eastAsia="Times New Roman"/>
        </w:rPr>
        <w:t xml:space="preserve"> + past participle = passive voice.</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 xml:space="preserve">Here are two more good examples of passive voice: “The economic situation would not </w:t>
      </w:r>
      <w:r w:rsidRPr="00CB2B94">
        <w:rPr>
          <w:rFonts w:eastAsia="Times New Roman"/>
          <w:b/>
        </w:rPr>
        <w:t>be improved</w:t>
      </w:r>
      <w:r w:rsidRPr="00CB2B94">
        <w:rPr>
          <w:rFonts w:eastAsia="Times New Roman"/>
        </w:rPr>
        <w:t xml:space="preserve"> </w:t>
      </w:r>
      <w:r w:rsidRPr="00CB2B94">
        <w:rPr>
          <w:rFonts w:eastAsia="Times New Roman"/>
          <w:i/>
        </w:rPr>
        <w:t>by</w:t>
      </w:r>
      <w:r w:rsidRPr="00CB2B94">
        <w:rPr>
          <w:rFonts w:eastAsia="Times New Roman"/>
        </w:rPr>
        <w:t xml:space="preserve"> statehood, as the opposition once contended.”</w:t>
      </w:r>
      <w:r w:rsidR="00FF6C3A">
        <w:rPr>
          <w:rFonts w:eastAsia="Times New Roman"/>
        </w:rPr>
        <w:t xml:space="preserve">  </w:t>
      </w:r>
      <w:r w:rsidRPr="00CB2B94">
        <w:rPr>
          <w:rFonts w:eastAsia="Times New Roman"/>
        </w:rPr>
        <w:t xml:space="preserve">“A narrow line of thinking about the issue </w:t>
      </w:r>
      <w:r w:rsidRPr="00CB2B94">
        <w:rPr>
          <w:rFonts w:eastAsia="Times New Roman"/>
          <w:b/>
        </w:rPr>
        <w:t>had been adopted</w:t>
      </w:r>
      <w:r w:rsidRPr="00CB2B94">
        <w:rPr>
          <w:rFonts w:eastAsia="Times New Roman"/>
        </w:rPr>
        <w:t xml:space="preserve"> </w:t>
      </w:r>
      <w:r w:rsidRPr="00CB2B94">
        <w:rPr>
          <w:rFonts w:eastAsia="Times New Roman"/>
          <w:i/>
        </w:rPr>
        <w:t>by</w:t>
      </w:r>
      <w:r w:rsidRPr="00CB2B94">
        <w:rPr>
          <w:rFonts w:eastAsia="Times New Roman"/>
        </w:rPr>
        <w:t xml:space="preserve"> leaders of the western powers.”</w:t>
      </w:r>
      <w:r w:rsidR="00FF6C3A">
        <w:rPr>
          <w:rFonts w:eastAsia="Times New Roman"/>
        </w:rPr>
        <w:t xml:space="preserve">  </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As noted above, it is</w:t>
      </w:r>
      <w:r w:rsidR="003617DC">
        <w:rPr>
          <w:rFonts w:eastAsia="Times New Roman"/>
        </w:rPr>
        <w:t xml:space="preserve"> nearly</w:t>
      </w:r>
      <w:r w:rsidRPr="00CB2B94">
        <w:rPr>
          <w:rFonts w:eastAsia="Times New Roman"/>
        </w:rPr>
        <w:t xml:space="preserve"> impossible to avoid the passive voice completely in historical writing, but its constant appearance can become annoying, as it does indicate </w:t>
      </w:r>
      <w:proofErr w:type="gramStart"/>
      <w:r w:rsidRPr="00CB2B94">
        <w:rPr>
          <w:rFonts w:eastAsia="Times New Roman"/>
        </w:rPr>
        <w:t>a certain</w:t>
      </w:r>
      <w:proofErr w:type="gramEnd"/>
      <w:r w:rsidRPr="00CB2B94">
        <w:rPr>
          <w:rFonts w:eastAsia="Times New Roman"/>
        </w:rPr>
        <w:t xml:space="preserve"> laziness on the part of the writer.</w:t>
      </w:r>
      <w:r w:rsidR="00FF6C3A">
        <w:rPr>
          <w:rFonts w:eastAsia="Times New Roman"/>
        </w:rPr>
        <w:t xml:space="preserve">  </w:t>
      </w:r>
      <w:r w:rsidRPr="00CB2B94">
        <w:rPr>
          <w:rFonts w:eastAsia="Times New Roman"/>
        </w:rPr>
        <w:t>Here is another example:</w:t>
      </w:r>
      <w:r w:rsidR="00FF6C3A">
        <w:rPr>
          <w:rFonts w:eastAsia="Times New Roman"/>
        </w:rPr>
        <w:t xml:space="preserve">  </w:t>
      </w:r>
      <w:r w:rsidRPr="00CB2B94">
        <w:rPr>
          <w:rFonts w:eastAsia="Times New Roman"/>
        </w:rPr>
        <w:t>“The measure was approved by a vote of two to one.”</w:t>
      </w:r>
      <w:r w:rsidR="00FF6C3A">
        <w:rPr>
          <w:rFonts w:eastAsia="Times New Roman"/>
        </w:rPr>
        <w:t xml:space="preserve">  </w:t>
      </w:r>
      <w:r w:rsidRPr="00CB2B94">
        <w:rPr>
          <w:rFonts w:eastAsia="Times New Roman"/>
        </w:rPr>
        <w:t>Who actually approved the measure—the vote?</w:t>
      </w:r>
      <w:r w:rsidR="00FF6C3A">
        <w:rPr>
          <w:rFonts w:eastAsia="Times New Roman"/>
        </w:rPr>
        <w:t xml:space="preserve">  </w:t>
      </w:r>
      <w:r w:rsidRPr="00CB2B94">
        <w:rPr>
          <w:rFonts w:eastAsia="Times New Roman"/>
        </w:rPr>
        <w:t>Obviously a vote is not a living entity that can do anything, so you have to look elsewhere in the paragraph to find the answer, and if more than one person or body is mentioned, then confusion can easily arise, even if the writer—and possibly the reader—knows what the answer is, based on the context.</w:t>
      </w:r>
      <w:r w:rsidR="00FF6C3A">
        <w:rPr>
          <w:rFonts w:eastAsia="Times New Roman"/>
        </w:rPr>
        <w:t xml:space="preserve">  </w:t>
      </w:r>
      <w:r w:rsidRPr="00CB2B94">
        <w:rPr>
          <w:rFonts w:eastAsia="Times New Roman"/>
        </w:rPr>
        <w:t xml:space="preserve">Nevertheless, the point is to increase one’s precision, and the frequent appearance of the passive voice increases the potential for confusion, which indicates an insufficient </w:t>
      </w:r>
      <w:r w:rsidRPr="00CB2B94">
        <w:rPr>
          <w:rFonts w:eastAsia="Times New Roman"/>
        </w:rPr>
        <w:lastRenderedPageBreak/>
        <w:t>grasp upon the subject matter on the part of the writer, even if no such deficiency really exists.</w:t>
      </w:r>
      <w:r w:rsidR="00FF6C3A">
        <w:rPr>
          <w:rFonts w:eastAsia="Times New Roman"/>
        </w:rPr>
        <w:t xml:space="preserve">  </w:t>
      </w:r>
      <w:r w:rsidRPr="00CB2B94">
        <w:rPr>
          <w:rFonts w:eastAsia="Times New Roman"/>
        </w:rPr>
        <w:t>To aid in identifying passive voice, you can set up Microsoft Word to identify it, though it will not find every appearance of it, and only rarely will it offer a correct alternative:</w:t>
      </w:r>
    </w:p>
    <w:p w:rsidR="00CB2B94" w:rsidRPr="00CB2B94" w:rsidRDefault="00CB2B94" w:rsidP="00CB2B94">
      <w:pPr>
        <w:autoSpaceDE w:val="0"/>
        <w:autoSpaceDN w:val="0"/>
        <w:adjustRightInd w:val="0"/>
        <w:spacing w:after="0"/>
        <w:ind w:left="720" w:right="720"/>
        <w:rPr>
          <w:rFonts w:eastAsia="Times New Roman"/>
        </w:rPr>
      </w:pPr>
      <w:proofErr w:type="gramStart"/>
      <w:r w:rsidRPr="00CB2B94">
        <w:rPr>
          <w:rFonts w:eastAsia="Times New Roman"/>
        </w:rPr>
        <w:t>Click on the FILE tab.</w:t>
      </w:r>
      <w:proofErr w:type="gramEnd"/>
      <w:r w:rsidR="00FF6C3A">
        <w:rPr>
          <w:rFonts w:eastAsia="Times New Roman"/>
        </w:rPr>
        <w:t xml:space="preserve">  </w:t>
      </w:r>
      <w:r w:rsidRPr="00CB2B94">
        <w:rPr>
          <w:rFonts w:eastAsia="Times New Roman"/>
        </w:rPr>
        <w:t>From the dropdown tab, select OPTIONS.</w:t>
      </w:r>
      <w:r w:rsidR="00FF6C3A">
        <w:rPr>
          <w:rFonts w:eastAsia="Times New Roman"/>
        </w:rPr>
        <w:t xml:space="preserve">  </w:t>
      </w:r>
      <w:proofErr w:type="gramStart"/>
      <w:r w:rsidRPr="00CB2B94">
        <w:rPr>
          <w:rFonts w:eastAsia="Times New Roman"/>
        </w:rPr>
        <w:t>On the menu to the left, click the tab for PROOFING, and under WRITING STYLE, click on SETTINGS.</w:t>
      </w:r>
      <w:proofErr w:type="gramEnd"/>
      <w:r w:rsidR="00FF6C3A">
        <w:rPr>
          <w:rFonts w:eastAsia="Times New Roman"/>
        </w:rPr>
        <w:t xml:space="preserve">  </w:t>
      </w:r>
      <w:r w:rsidRPr="00CB2B94">
        <w:rPr>
          <w:rFonts w:eastAsia="Times New Roman"/>
        </w:rPr>
        <w:t>Make sure that PASSIVE SENTENCES is checked.</w:t>
      </w:r>
    </w:p>
    <w:p w:rsidR="00CB2B94" w:rsidRPr="00CB2B94" w:rsidRDefault="00CB2B94" w:rsidP="00CB2B94">
      <w:pPr>
        <w:autoSpaceDE w:val="0"/>
        <w:autoSpaceDN w:val="0"/>
        <w:adjustRightInd w:val="0"/>
        <w:spacing w:after="0"/>
        <w:ind w:left="720" w:right="720"/>
        <w:rPr>
          <w:rFonts w:eastAsia="Times New Roman"/>
        </w:rPr>
      </w:pP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Microsoft Word should be configured by default to find passive voice when performing a grammar check, but if somehow it is not so configured, it will not hurt to see to it that it is.</w:t>
      </w:r>
      <w:r w:rsidR="00FF6C3A">
        <w:rPr>
          <w:rFonts w:eastAsia="Times New Roman"/>
        </w:rPr>
        <w:t xml:space="preserve">  </w:t>
      </w:r>
      <w:r w:rsidRPr="00CB2B94">
        <w:rPr>
          <w:rFonts w:eastAsia="Times New Roman"/>
        </w:rPr>
        <w:t>A grammar check should be performed on your draft once at the very least, and preferably several times before submission.</w:t>
      </w:r>
    </w:p>
    <w:p w:rsidR="001330DC" w:rsidRPr="00A128D2" w:rsidRDefault="00CB2B94" w:rsidP="00CB2B94">
      <w:pPr>
        <w:autoSpaceDE w:val="0"/>
        <w:autoSpaceDN w:val="0"/>
        <w:adjustRightInd w:val="0"/>
        <w:spacing w:after="0" w:line="480" w:lineRule="auto"/>
        <w:rPr>
          <w:rFonts w:eastAsia="Times New Roman"/>
        </w:rPr>
      </w:pPr>
      <w:r w:rsidRPr="00CB2B94">
        <w:rPr>
          <w:rFonts w:eastAsia="Times New Roman"/>
        </w:rPr>
        <w:tab/>
      </w:r>
      <w:r w:rsidR="001330DC" w:rsidRPr="00A128D2">
        <w:rPr>
          <w:rFonts w:eastAsia="Times New Roman"/>
        </w:rPr>
        <w:t xml:space="preserve">Always be concise. Never use five words when two words are enough. Always try to use active verbs to ensure concise phrasing. </w:t>
      </w:r>
      <w:r w:rsidR="00A128D2" w:rsidRPr="00A128D2">
        <w:rPr>
          <w:rFonts w:eastAsia="Times New Roman"/>
        </w:rPr>
        <w:t>Work to</w:t>
      </w:r>
      <w:r w:rsidR="001330DC" w:rsidRPr="00A128D2">
        <w:rPr>
          <w:rFonts w:eastAsia="Times New Roman"/>
        </w:rPr>
        <w:t xml:space="preserve"> limit the use of “to be” verbs. You should strive to place subjects and verbs near the beginnings of sentences, to reduce over-reliance on adjectives and adverbs that complicate sentences. </w:t>
      </w:r>
    </w:p>
    <w:p w:rsidR="001330DC" w:rsidRDefault="001330DC" w:rsidP="00CB2B94">
      <w:pPr>
        <w:autoSpaceDE w:val="0"/>
        <w:autoSpaceDN w:val="0"/>
        <w:adjustRightInd w:val="0"/>
        <w:spacing w:after="0" w:line="480" w:lineRule="auto"/>
        <w:rPr>
          <w:rFonts w:eastAsia="Times New Roman"/>
        </w:rPr>
      </w:pPr>
      <w:r w:rsidRPr="00A128D2">
        <w:rPr>
          <w:rFonts w:eastAsia="Times New Roman"/>
        </w:rPr>
        <w:tab/>
      </w:r>
      <w:r w:rsidR="00A128D2" w:rsidRPr="00A128D2">
        <w:rPr>
          <w:rFonts w:eastAsia="Times New Roman"/>
        </w:rPr>
        <w:t>Always remember that you are the author of your paper. You should attempt to seize authorial control. Never let the organization or voice of another author substitute for your voice or determine your paper’s organization or argument. Whenever possible, try to paraphrase your sources. Keep the use of block quotes to a minimum, mostly for effect or when the original words state the case perfectly.</w:t>
      </w:r>
    </w:p>
    <w:p w:rsidR="003617DC" w:rsidRDefault="00CB2B94" w:rsidP="001330DC">
      <w:pPr>
        <w:autoSpaceDE w:val="0"/>
        <w:autoSpaceDN w:val="0"/>
        <w:adjustRightInd w:val="0"/>
        <w:spacing w:after="0" w:line="480" w:lineRule="auto"/>
        <w:ind w:firstLine="720"/>
        <w:rPr>
          <w:rFonts w:eastAsia="Times New Roman"/>
        </w:rPr>
      </w:pPr>
      <w:r w:rsidRPr="00CB2B94">
        <w:rPr>
          <w:rFonts w:eastAsia="Times New Roman"/>
        </w:rPr>
        <w:t>Certain other technical points should still be addressed that can help you avoid your papers ending up dripping with angry red ink.</w:t>
      </w:r>
      <w:r w:rsidR="00FF6C3A">
        <w:rPr>
          <w:rFonts w:eastAsia="Times New Roman"/>
        </w:rPr>
        <w:t xml:space="preserve">  </w:t>
      </w:r>
      <w:r w:rsidR="003617DC">
        <w:rPr>
          <w:rFonts w:eastAsia="Times New Roman"/>
        </w:rPr>
        <w:t>Most historians prefer that you write in the past tense</w:t>
      </w:r>
      <w:r w:rsidRPr="00CB2B94">
        <w:rPr>
          <w:rFonts w:eastAsia="Times New Roman"/>
        </w:rPr>
        <w:t xml:space="preserve">. </w:t>
      </w:r>
      <w:r w:rsidR="003617DC">
        <w:rPr>
          <w:rFonts w:eastAsia="Times New Roman"/>
        </w:rPr>
        <w:t>There is something called the histori</w:t>
      </w:r>
      <w:r w:rsidR="00123A06">
        <w:rPr>
          <w:rFonts w:eastAsia="Times New Roman"/>
        </w:rPr>
        <w:t>cal present tense</w:t>
      </w:r>
      <w:r w:rsidR="003617DC">
        <w:rPr>
          <w:rFonts w:eastAsia="Times New Roman"/>
        </w:rPr>
        <w:t xml:space="preserve"> in which </w:t>
      </w:r>
      <w:r w:rsidRPr="00CB2B94">
        <w:rPr>
          <w:rFonts w:eastAsia="Times New Roman"/>
        </w:rPr>
        <w:t>writers treat historical figures who are no longer living as though they are indeed still alive (“Thomas Jefferson is unsure if the Congress will approve the Louisiana Purchase” or “Now Washington has to figure out how to get his army across the Delaware quickly and silently”).</w:t>
      </w:r>
      <w:r w:rsidR="00FF6C3A">
        <w:rPr>
          <w:rFonts w:eastAsia="Times New Roman"/>
        </w:rPr>
        <w:t xml:space="preserve">  </w:t>
      </w:r>
      <w:r w:rsidR="003617DC">
        <w:rPr>
          <w:rFonts w:eastAsia="Times New Roman"/>
        </w:rPr>
        <w:t xml:space="preserve">While not incorrect, this tense is usually best employed when writing for a popular audience: it can create a sense of immediacy. Professional historians often find it jarring. </w:t>
      </w:r>
      <w:r w:rsidRPr="00CB2B94">
        <w:rPr>
          <w:rFonts w:eastAsia="Times New Roman"/>
        </w:rPr>
        <w:t>Keeping your verb tenses straight is a challenging balancing act, but the rule of thumb for history papers is to make sure that past events are spoken of in the past tense, while present-day discussions of past events by historians are treated in the present tense.</w:t>
      </w:r>
      <w:r w:rsidR="00FF6C3A">
        <w:rPr>
          <w:rFonts w:eastAsia="Times New Roman"/>
        </w:rPr>
        <w:t xml:space="preserve">  </w:t>
      </w:r>
      <w:r w:rsidRPr="00CB2B94">
        <w:rPr>
          <w:rFonts w:eastAsia="Times New Roman"/>
        </w:rPr>
        <w:t xml:space="preserve">For example: “Jonathan Edwards described the beginnings of the Great </w:t>
      </w:r>
      <w:r w:rsidRPr="00CB2B94">
        <w:rPr>
          <w:rFonts w:eastAsia="Times New Roman"/>
        </w:rPr>
        <w:lastRenderedPageBreak/>
        <w:t xml:space="preserve">Awakening in New England in </w:t>
      </w:r>
      <w:r w:rsidRPr="00CB2B94">
        <w:rPr>
          <w:rFonts w:eastAsia="Times New Roman"/>
          <w:i/>
        </w:rPr>
        <w:t xml:space="preserve">A Faithful Narrative of the </w:t>
      </w:r>
      <w:proofErr w:type="spellStart"/>
      <w:r w:rsidRPr="00CB2B94">
        <w:rPr>
          <w:rFonts w:eastAsia="Times New Roman"/>
          <w:i/>
        </w:rPr>
        <w:t>Surprizing</w:t>
      </w:r>
      <w:proofErr w:type="spellEnd"/>
      <w:r w:rsidRPr="00CB2B94">
        <w:rPr>
          <w:rFonts w:eastAsia="Times New Roman"/>
          <w:i/>
        </w:rPr>
        <w:t xml:space="preserve"> Work of God</w:t>
      </w:r>
      <w:r w:rsidRPr="00CB2B94">
        <w:rPr>
          <w:rFonts w:eastAsia="Times New Roman"/>
        </w:rPr>
        <w:t xml:space="preserve"> (1734), which historian Frank Lambert argues in </w:t>
      </w:r>
      <w:r w:rsidRPr="00CB2B94">
        <w:rPr>
          <w:rFonts w:eastAsia="Times New Roman"/>
          <w:i/>
        </w:rPr>
        <w:t>Inventing the ‘Great Awakening’</w:t>
      </w:r>
      <w:r w:rsidRPr="00CB2B94">
        <w:rPr>
          <w:rFonts w:eastAsia="Times New Roman"/>
        </w:rPr>
        <w:t xml:space="preserve"> is an example of the kind of publicity campaign by </w:t>
      </w:r>
      <w:proofErr w:type="spellStart"/>
      <w:r w:rsidRPr="00CB2B94">
        <w:rPr>
          <w:rFonts w:eastAsia="Times New Roman"/>
        </w:rPr>
        <w:t>prorevivalists</w:t>
      </w:r>
      <w:proofErr w:type="spellEnd"/>
      <w:r w:rsidRPr="00CB2B94">
        <w:rPr>
          <w:rFonts w:eastAsia="Times New Roman"/>
        </w:rPr>
        <w:t xml:space="preserve"> that ‘invented’ the Great Awakening.”</w:t>
      </w:r>
      <w:r w:rsidR="00FF6C3A">
        <w:rPr>
          <w:rFonts w:eastAsia="Times New Roman"/>
        </w:rPr>
        <w:t xml:space="preserve">  </w:t>
      </w:r>
    </w:p>
    <w:p w:rsidR="00CB2B94" w:rsidRPr="00CB2B94" w:rsidRDefault="003617DC" w:rsidP="003617DC">
      <w:pPr>
        <w:autoSpaceDE w:val="0"/>
        <w:autoSpaceDN w:val="0"/>
        <w:adjustRightInd w:val="0"/>
        <w:spacing w:after="0" w:line="480" w:lineRule="auto"/>
        <w:ind w:firstLine="720"/>
        <w:rPr>
          <w:rFonts w:eastAsia="Times New Roman"/>
        </w:rPr>
      </w:pPr>
      <w:r>
        <w:rPr>
          <w:rFonts w:eastAsia="Times New Roman"/>
        </w:rPr>
        <w:t>A</w:t>
      </w:r>
      <w:r w:rsidR="00CB2B94" w:rsidRPr="00CB2B94">
        <w:rPr>
          <w:rFonts w:eastAsia="Times New Roman"/>
        </w:rPr>
        <w:t xml:space="preserve">void making grandiose, generalized statements of the obvious, which is a fair definition of a </w:t>
      </w:r>
      <w:r w:rsidR="00CB2B94" w:rsidRPr="00CB2B94">
        <w:rPr>
          <w:rFonts w:eastAsia="Times New Roman"/>
          <w:i/>
        </w:rPr>
        <w:t>platitude</w:t>
      </w:r>
      <w:r w:rsidR="00CB2B94" w:rsidRPr="00CB2B94">
        <w:rPr>
          <w:rFonts w:eastAsia="Times New Roman"/>
        </w:rPr>
        <w:t>: “Throughout history human beings have done terrible things to each other,” or “The American Revolution was a significant event.”</w:t>
      </w:r>
      <w:r w:rsidR="00FF6C3A">
        <w:rPr>
          <w:rFonts w:eastAsia="Times New Roman"/>
        </w:rPr>
        <w:t xml:space="preserve">  </w:t>
      </w:r>
      <w:r w:rsidR="00CB2B94" w:rsidRPr="00CB2B94">
        <w:rPr>
          <w:rFonts w:eastAsia="Times New Roman"/>
        </w:rPr>
        <w:t>A related danger to avoid is reductionism—boiling down a complicated series of events, characteristics, or dynamics to a single idea or interpretation, especially if it suits your personal or political opinions.</w:t>
      </w:r>
      <w:r w:rsidR="00FF6C3A">
        <w:rPr>
          <w:rFonts w:eastAsia="Times New Roman"/>
        </w:rPr>
        <w:t xml:space="preserve">  </w:t>
      </w:r>
      <w:r w:rsidR="00CB2B94" w:rsidRPr="00CB2B94">
        <w:rPr>
          <w:rFonts w:eastAsia="Times New Roman"/>
        </w:rPr>
        <w:t>For example: “The delegates to the Constitutional Convention wished to preserve a government controlled by rich, old white men,” or “The moral reformers of the antebellum period of American history were nothing more than a bevy of repressed puritans seeking to shape and control American society and politics.”</w:t>
      </w:r>
      <w:r w:rsidR="00FF6C3A">
        <w:rPr>
          <w:rFonts w:eastAsia="Times New Roman"/>
        </w:rPr>
        <w:t xml:space="preserve">  </w:t>
      </w:r>
      <w:r w:rsidR="00CB2B94" w:rsidRPr="00CB2B94">
        <w:rPr>
          <w:rFonts w:eastAsia="Times New Roman"/>
        </w:rPr>
        <w:t>Platitudes and reductionist statements indicate an unwillingness or inability to engage the complex realities of history and the range of scholarly opinion of a particular subject.</w:t>
      </w:r>
    </w:p>
    <w:p w:rsidR="00D90BFB" w:rsidRPr="00CF1F54" w:rsidRDefault="00CB2B94" w:rsidP="00CB2B94">
      <w:pPr>
        <w:spacing w:after="0" w:line="480" w:lineRule="auto"/>
        <w:contextualSpacing/>
      </w:pPr>
      <w:r w:rsidRPr="00CF1F54">
        <w:t xml:space="preserve"> </w:t>
      </w:r>
    </w:p>
    <w:p w:rsidR="00A10E91" w:rsidRPr="00CF1F54" w:rsidRDefault="00CB2B94" w:rsidP="00CB2B94">
      <w:pPr>
        <w:spacing w:after="0" w:line="480" w:lineRule="auto"/>
        <w:contextualSpacing/>
        <w:rPr>
          <w:b/>
        </w:rPr>
      </w:pPr>
      <w:r w:rsidRPr="00CF1F54">
        <w:rPr>
          <w:b/>
        </w:rPr>
        <w:t>IX</w:t>
      </w:r>
      <w:r w:rsidR="00AD0F60">
        <w:rPr>
          <w:b/>
        </w:rPr>
        <w:t>.</w:t>
      </w:r>
      <w:r w:rsidRPr="00CF1F54">
        <w:rPr>
          <w:b/>
        </w:rPr>
        <w:tab/>
      </w:r>
      <w:r w:rsidR="00A10E91" w:rsidRPr="00CF1F54">
        <w:rPr>
          <w:b/>
        </w:rPr>
        <w:t>About Book Reviews</w:t>
      </w:r>
    </w:p>
    <w:p w:rsidR="00CB2B94" w:rsidRPr="00CB2B94" w:rsidRDefault="00CB2B94" w:rsidP="003617DC">
      <w:pPr>
        <w:autoSpaceDE w:val="0"/>
        <w:autoSpaceDN w:val="0"/>
        <w:adjustRightInd w:val="0"/>
        <w:spacing w:after="0" w:line="480" w:lineRule="auto"/>
        <w:ind w:firstLine="720"/>
        <w:rPr>
          <w:rFonts w:eastAsia="Times New Roman"/>
        </w:rPr>
      </w:pPr>
      <w:r w:rsidRPr="00CB2B94">
        <w:rPr>
          <w:rFonts w:eastAsia="Times New Roman"/>
        </w:rPr>
        <w:t>From time to time, you may be required to write a book review, which is a different kind of task than the composition of a research essay.</w:t>
      </w:r>
      <w:r w:rsidR="00FF6C3A">
        <w:rPr>
          <w:rFonts w:eastAsia="Times New Roman"/>
        </w:rPr>
        <w:t xml:space="preserve">  </w:t>
      </w:r>
      <w:r w:rsidRPr="00CB2B94">
        <w:rPr>
          <w:rFonts w:eastAsia="Times New Roman"/>
        </w:rPr>
        <w:t>A review is a scholarly assessment of a scholarly book, either a monograph or a work of synthesis that not only summarizes its content, but also analyzes the arguments made therein to judge their merits.</w:t>
      </w:r>
      <w:r w:rsidR="00FF6C3A">
        <w:rPr>
          <w:rFonts w:eastAsia="Times New Roman"/>
        </w:rPr>
        <w:t xml:space="preserve">  </w:t>
      </w:r>
      <w:r w:rsidRPr="00CB2B94">
        <w:rPr>
          <w:rFonts w:eastAsia="Times New Roman"/>
        </w:rPr>
        <w:t>It is not merely a summary of the book’s content, but an analysis of the historian’s thesis (argument) and his/her use of primary and secondary source evidence in support of it.</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When tasked with writing a book review—especially for the first time, the first thing you should do is look up a series of book reviews to get a sense of how they are written and organized.</w:t>
      </w:r>
      <w:r w:rsidR="00FF6C3A">
        <w:rPr>
          <w:rFonts w:eastAsia="Times New Roman"/>
        </w:rPr>
        <w:t xml:space="preserve">  </w:t>
      </w:r>
      <w:r w:rsidRPr="00CB2B94">
        <w:rPr>
          <w:rFonts w:eastAsia="Times New Roman"/>
        </w:rPr>
        <w:t xml:space="preserve">Most book reviews are short-form—500-1,000 words—and appear in the last section of a scholarly journal such as </w:t>
      </w:r>
      <w:r w:rsidRPr="00CB2B94">
        <w:rPr>
          <w:rFonts w:eastAsia="Times New Roman"/>
          <w:i/>
        </w:rPr>
        <w:t>The American Historical Review</w:t>
      </w:r>
      <w:r w:rsidRPr="00CB2B94">
        <w:rPr>
          <w:rFonts w:eastAsia="Times New Roman"/>
        </w:rPr>
        <w:t xml:space="preserve"> and the </w:t>
      </w:r>
      <w:r w:rsidRPr="00CB2B94">
        <w:rPr>
          <w:rFonts w:eastAsia="Times New Roman"/>
          <w:i/>
        </w:rPr>
        <w:t>Journal of American History</w:t>
      </w:r>
      <w:r w:rsidRPr="00CB2B94">
        <w:rPr>
          <w:rFonts w:eastAsia="Times New Roman"/>
        </w:rPr>
        <w:t>.</w:t>
      </w:r>
      <w:r w:rsidR="00FF6C3A">
        <w:rPr>
          <w:rFonts w:eastAsia="Times New Roman"/>
        </w:rPr>
        <w:t xml:space="preserve">  </w:t>
      </w:r>
      <w:r w:rsidRPr="00CB2B94">
        <w:rPr>
          <w:rFonts w:eastAsia="Times New Roman"/>
        </w:rPr>
        <w:t xml:space="preserve">However, longer reviews—1,000-5,000 words—are found in </w:t>
      </w:r>
      <w:r w:rsidRPr="00CB2B94">
        <w:rPr>
          <w:rFonts w:eastAsia="Times New Roman"/>
          <w:i/>
        </w:rPr>
        <w:t>Reviews in American History</w:t>
      </w:r>
      <w:r w:rsidRPr="00CB2B94">
        <w:rPr>
          <w:rFonts w:eastAsia="Times New Roman"/>
        </w:rPr>
        <w:t xml:space="preserve">, which is a journal devoted only to book reviews </w:t>
      </w:r>
      <w:r w:rsidRPr="00CB2B94">
        <w:rPr>
          <w:rFonts w:eastAsia="Times New Roman"/>
        </w:rPr>
        <w:lastRenderedPageBreak/>
        <w:t>and not to the presentation of new scholarship.</w:t>
      </w:r>
      <w:r w:rsidR="00FF6C3A">
        <w:rPr>
          <w:rFonts w:eastAsia="Times New Roman"/>
        </w:rPr>
        <w:t xml:space="preserve">  </w:t>
      </w:r>
      <w:r w:rsidRPr="00CB2B94">
        <w:rPr>
          <w:rFonts w:eastAsia="Times New Roman"/>
        </w:rPr>
        <w:t>All of these journals can be accessed through JSTOR, and offer excellent examples of the book review format.</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A standard student book review usually contains the following elements, structured according to the following order:</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1. Introduction</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2. Summary of the content, including identification of the author’s thesis</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3. Analysis of the evidential support for the book’s argument</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 xml:space="preserve">4. Comparisons to similar works, the place of the book in the historiography of </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r>
      <w:r w:rsidR="00FF6C3A">
        <w:rPr>
          <w:rFonts w:eastAsia="Times New Roman"/>
        </w:rPr>
        <w:t xml:space="preserve">    </w:t>
      </w:r>
      <w:proofErr w:type="gramStart"/>
      <w:r w:rsidRPr="00CB2B94">
        <w:rPr>
          <w:rFonts w:eastAsia="Times New Roman"/>
        </w:rPr>
        <w:t>the</w:t>
      </w:r>
      <w:proofErr w:type="gramEnd"/>
      <w:r w:rsidRPr="00CB2B94">
        <w:rPr>
          <w:rFonts w:eastAsia="Times New Roman"/>
        </w:rPr>
        <w:t xml:space="preserve"> subject; survey of scholarly review literature (optional)</w:t>
      </w:r>
    </w:p>
    <w:p w:rsidR="00CB2B94" w:rsidRPr="00CB2B94" w:rsidRDefault="00CB2B94" w:rsidP="00CB2B94">
      <w:pPr>
        <w:autoSpaceDE w:val="0"/>
        <w:autoSpaceDN w:val="0"/>
        <w:adjustRightInd w:val="0"/>
        <w:spacing w:after="0" w:line="480" w:lineRule="auto"/>
        <w:rPr>
          <w:rFonts w:eastAsia="Times New Roman"/>
        </w:rPr>
      </w:pPr>
      <w:r w:rsidRPr="00CB2B94">
        <w:rPr>
          <w:rFonts w:eastAsia="Times New Roman"/>
        </w:rPr>
        <w:tab/>
        <w:t>5. Conclusion.</w:t>
      </w:r>
    </w:p>
    <w:p w:rsidR="001477FF" w:rsidRDefault="00CB2B94" w:rsidP="003617DC">
      <w:pPr>
        <w:autoSpaceDE w:val="0"/>
        <w:autoSpaceDN w:val="0"/>
        <w:adjustRightInd w:val="0"/>
        <w:spacing w:after="0" w:line="480" w:lineRule="auto"/>
      </w:pPr>
      <w:r w:rsidRPr="00CB2B94">
        <w:rPr>
          <w:rFonts w:eastAsia="Times New Roman"/>
        </w:rPr>
        <w:t>It is important to limit your analysis of the book to its strengths and weaknesses, and not get into whether or not you “like” the book.</w:t>
      </w:r>
      <w:r w:rsidR="00FF6C3A">
        <w:rPr>
          <w:rFonts w:eastAsia="Times New Roman"/>
        </w:rPr>
        <w:t xml:space="preserve">  </w:t>
      </w:r>
      <w:r w:rsidRPr="00CB2B94">
        <w:rPr>
          <w:rFonts w:eastAsia="Times New Roman"/>
        </w:rPr>
        <w:t>If the book is well written or poorly written, certainly make note of that, but the focus must remain on the quality of the thesis and the strength of the supporting evidence.</w:t>
      </w:r>
      <w:r w:rsidR="00FF6C3A">
        <w:rPr>
          <w:rFonts w:eastAsia="Times New Roman"/>
        </w:rPr>
        <w:t xml:space="preserve">  </w:t>
      </w:r>
      <w:r w:rsidRPr="00CB2B94">
        <w:rPr>
          <w:rFonts w:eastAsia="Times New Roman"/>
        </w:rPr>
        <w:t>That said, book reviews can sometimes be arenas where historians with sharply contrasting viewpoints do battle, and in such cases a reviewer might condemn a book less on its own shortcomings and more for simply not being the boo</w:t>
      </w:r>
      <w:r w:rsidR="003617DC">
        <w:rPr>
          <w:rFonts w:eastAsia="Times New Roman"/>
        </w:rPr>
        <w:t xml:space="preserve">k that the reviewer </w:t>
      </w:r>
      <w:r w:rsidRPr="00CB2B94">
        <w:rPr>
          <w:rFonts w:eastAsia="Times New Roman"/>
        </w:rPr>
        <w:t>would have written.</w:t>
      </w:r>
      <w:r w:rsidR="00FF6C3A">
        <w:rPr>
          <w:rFonts w:eastAsia="Times New Roman"/>
        </w:rPr>
        <w:t xml:space="preserve">  </w:t>
      </w:r>
      <w:r w:rsidRPr="00CB2B94">
        <w:rPr>
          <w:rFonts w:eastAsia="Times New Roman"/>
        </w:rPr>
        <w:t>This is not usually a problem for students, since they often lack deep historiographical knowledge, but any well-trained history student can recognize a book’s thesis and evaluate it on the basis of the evidence that an author (or authors) uses.</w:t>
      </w:r>
      <w:r w:rsidR="00FF6C3A">
        <w:rPr>
          <w:rFonts w:eastAsia="Times New Roman"/>
        </w:rPr>
        <w:t xml:space="preserve">  </w:t>
      </w:r>
      <w:r w:rsidRPr="00CB2B94">
        <w:rPr>
          <w:rFonts w:eastAsia="Times New Roman"/>
        </w:rPr>
        <w:t>Do not be daunted by your relative lack of experience!</w:t>
      </w:r>
    </w:p>
    <w:sectPr w:rsidR="001477FF" w:rsidSect="008B6831">
      <w:footerReference w:type="default" r:id="rId9"/>
      <w:type w:val="continuous"/>
      <w:pgSz w:w="12240" w:h="15840" w:code="1"/>
      <w:pgMar w:top="1440" w:right="1440" w:bottom="1440" w:left="1440" w:header="720" w:footer="720" w:gutter="0"/>
      <w:cols w:space="4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47" w:rsidRDefault="00CC5447" w:rsidP="00E75619">
      <w:pPr>
        <w:spacing w:after="0"/>
      </w:pPr>
      <w:r>
        <w:separator/>
      </w:r>
    </w:p>
  </w:endnote>
  <w:endnote w:type="continuationSeparator" w:id="0">
    <w:p w:rsidR="00CC5447" w:rsidRDefault="00CC5447" w:rsidP="00E756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964316"/>
      <w:docPartObj>
        <w:docPartGallery w:val="Page Numbers (Bottom of Page)"/>
        <w:docPartUnique/>
      </w:docPartObj>
    </w:sdtPr>
    <w:sdtEndPr>
      <w:rPr>
        <w:noProof/>
      </w:rPr>
    </w:sdtEndPr>
    <w:sdtContent>
      <w:p w:rsidR="00FF6C3A" w:rsidRDefault="00FF6C3A">
        <w:pPr>
          <w:pStyle w:val="Footer"/>
          <w:jc w:val="right"/>
        </w:pPr>
        <w:r>
          <w:fldChar w:fldCharType="begin"/>
        </w:r>
        <w:r>
          <w:instrText xml:space="preserve"> PAGE   \* MERGEFORMAT </w:instrText>
        </w:r>
        <w:r>
          <w:fldChar w:fldCharType="separate"/>
        </w:r>
        <w:r w:rsidR="00BB77AE">
          <w:rPr>
            <w:noProof/>
          </w:rPr>
          <w:t>1</w:t>
        </w:r>
        <w:r>
          <w:rPr>
            <w:noProof/>
          </w:rPr>
          <w:fldChar w:fldCharType="end"/>
        </w:r>
      </w:p>
    </w:sdtContent>
  </w:sdt>
  <w:p w:rsidR="00FF6C3A" w:rsidRDefault="00FF6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47" w:rsidRDefault="00CC5447" w:rsidP="00E75619">
      <w:pPr>
        <w:spacing w:after="0"/>
      </w:pPr>
      <w:r>
        <w:separator/>
      </w:r>
    </w:p>
  </w:footnote>
  <w:footnote w:type="continuationSeparator" w:id="0">
    <w:p w:rsidR="00CC5447" w:rsidRDefault="00CC5447" w:rsidP="00E75619">
      <w:pPr>
        <w:spacing w:after="0"/>
      </w:pPr>
      <w:r>
        <w:continuationSeparator/>
      </w:r>
    </w:p>
  </w:footnote>
  <w:footnote w:id="1">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Anthony </w:t>
      </w:r>
      <w:proofErr w:type="spellStart"/>
      <w:r w:rsidRPr="00941C9F">
        <w:rPr>
          <w:rFonts w:ascii="Times New Roman" w:hAnsi="Times New Roman"/>
          <w:sz w:val="22"/>
          <w:szCs w:val="22"/>
        </w:rPr>
        <w:t>Brundage</w:t>
      </w:r>
      <w:proofErr w:type="spellEnd"/>
      <w:r w:rsidRPr="00941C9F">
        <w:rPr>
          <w:rFonts w:ascii="Times New Roman" w:hAnsi="Times New Roman"/>
          <w:sz w:val="22"/>
          <w:szCs w:val="22"/>
        </w:rPr>
        <w:t xml:space="preserve">, </w:t>
      </w:r>
      <w:r w:rsidRPr="00941C9F">
        <w:rPr>
          <w:rFonts w:ascii="Times New Roman" w:hAnsi="Times New Roman"/>
          <w:i/>
          <w:sz w:val="22"/>
          <w:szCs w:val="22"/>
        </w:rPr>
        <w:t>Going to the Sources: A Guide to Historical Research and Writing</w:t>
      </w:r>
      <w:r w:rsidRPr="00941C9F">
        <w:rPr>
          <w:rFonts w:ascii="Times New Roman" w:hAnsi="Times New Roman"/>
          <w:sz w:val="22"/>
          <w:szCs w:val="22"/>
        </w:rPr>
        <w:t>, 4</w:t>
      </w:r>
      <w:r w:rsidRPr="00941C9F">
        <w:rPr>
          <w:rFonts w:ascii="Times New Roman" w:hAnsi="Times New Roman"/>
          <w:sz w:val="22"/>
          <w:szCs w:val="22"/>
          <w:vertAlign w:val="superscript"/>
        </w:rPr>
        <w:t>th</w:t>
      </w:r>
      <w:r w:rsidRPr="00941C9F">
        <w:rPr>
          <w:rFonts w:ascii="Times New Roman" w:hAnsi="Times New Roman"/>
          <w:sz w:val="22"/>
          <w:szCs w:val="22"/>
        </w:rPr>
        <w:t xml:space="preserve"> ed. (Wheeling, IL: Harlan Davidson, 2008), 17.</w:t>
      </w:r>
    </w:p>
  </w:footnote>
  <w:footnote w:id="2">
    <w:p w:rsidR="00FF6C3A" w:rsidRPr="00D90BFB" w:rsidRDefault="00FF6C3A" w:rsidP="00941C9F">
      <w:pPr>
        <w:pStyle w:val="FootnoteText"/>
        <w:ind w:firstLine="720"/>
        <w:rPr>
          <w:rFonts w:ascii="Times New Roman" w:hAnsi="Times New Roman"/>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spellStart"/>
      <w:proofErr w:type="gramStart"/>
      <w:r w:rsidRPr="00941C9F">
        <w:rPr>
          <w:rFonts w:ascii="Times New Roman" w:hAnsi="Times New Roman"/>
          <w:sz w:val="22"/>
          <w:szCs w:val="22"/>
        </w:rPr>
        <w:t>Brundage</w:t>
      </w:r>
      <w:proofErr w:type="spellEnd"/>
      <w:r w:rsidRPr="00941C9F">
        <w:rPr>
          <w:rFonts w:ascii="Times New Roman" w:hAnsi="Times New Roman"/>
          <w:sz w:val="22"/>
          <w:szCs w:val="22"/>
        </w:rPr>
        <w:t xml:space="preserve">, </w:t>
      </w:r>
      <w:r w:rsidRPr="00941C9F">
        <w:rPr>
          <w:rFonts w:ascii="Times New Roman" w:hAnsi="Times New Roman"/>
          <w:i/>
          <w:sz w:val="22"/>
          <w:szCs w:val="22"/>
        </w:rPr>
        <w:t>Going to the Sources</w:t>
      </w:r>
      <w:r w:rsidRPr="00941C9F">
        <w:rPr>
          <w:rFonts w:ascii="Times New Roman" w:hAnsi="Times New Roman"/>
          <w:sz w:val="22"/>
          <w:szCs w:val="22"/>
        </w:rPr>
        <w:t>, 2.</w:t>
      </w:r>
      <w:proofErr w:type="gramEnd"/>
    </w:p>
  </w:footnote>
  <w:footnote w:id="3">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Kate L. </w:t>
      </w:r>
      <w:proofErr w:type="spellStart"/>
      <w:r w:rsidRPr="00941C9F">
        <w:rPr>
          <w:rFonts w:ascii="Times New Roman" w:hAnsi="Times New Roman"/>
          <w:sz w:val="22"/>
          <w:szCs w:val="22"/>
        </w:rPr>
        <w:t>Turabian</w:t>
      </w:r>
      <w:proofErr w:type="spellEnd"/>
      <w:r w:rsidRPr="00941C9F">
        <w:rPr>
          <w:rFonts w:ascii="Times New Roman" w:hAnsi="Times New Roman"/>
          <w:sz w:val="22"/>
          <w:szCs w:val="22"/>
        </w:rPr>
        <w:t xml:space="preserve">, </w:t>
      </w:r>
      <w:proofErr w:type="gramStart"/>
      <w:r w:rsidRPr="00941C9F">
        <w:rPr>
          <w:rFonts w:ascii="Times New Roman" w:hAnsi="Times New Roman"/>
          <w:i/>
          <w:sz w:val="22"/>
          <w:szCs w:val="22"/>
        </w:rPr>
        <w:t>A</w:t>
      </w:r>
      <w:proofErr w:type="gramEnd"/>
      <w:r w:rsidRPr="00941C9F">
        <w:rPr>
          <w:rFonts w:ascii="Times New Roman" w:hAnsi="Times New Roman"/>
          <w:i/>
          <w:sz w:val="22"/>
          <w:szCs w:val="22"/>
        </w:rPr>
        <w:t xml:space="preserve"> Manual for Writers of Research Papers, Theses, and Dissertations</w:t>
      </w:r>
      <w:r w:rsidR="00ED6461">
        <w:rPr>
          <w:rFonts w:ascii="Times New Roman" w:hAnsi="Times New Roman"/>
          <w:sz w:val="22"/>
          <w:szCs w:val="22"/>
        </w:rPr>
        <w:t>, 8</w:t>
      </w:r>
      <w:r w:rsidRPr="00941C9F">
        <w:rPr>
          <w:rFonts w:ascii="Times New Roman" w:hAnsi="Times New Roman"/>
          <w:sz w:val="22"/>
          <w:szCs w:val="22"/>
          <w:vertAlign w:val="superscript"/>
        </w:rPr>
        <w:t>th</w:t>
      </w:r>
      <w:r w:rsidRPr="00941C9F">
        <w:rPr>
          <w:rFonts w:ascii="Times New Roman" w:hAnsi="Times New Roman"/>
          <w:sz w:val="22"/>
          <w:szCs w:val="22"/>
        </w:rPr>
        <w:t xml:space="preserve"> ed. (Chicago: U</w:t>
      </w:r>
      <w:r w:rsidR="00ED6461">
        <w:rPr>
          <w:rFonts w:ascii="Times New Roman" w:hAnsi="Times New Roman"/>
          <w:sz w:val="22"/>
          <w:szCs w:val="22"/>
        </w:rPr>
        <w:t>niversity of Chicago Press, 2013</w:t>
      </w:r>
      <w:r w:rsidRPr="00941C9F">
        <w:rPr>
          <w:rFonts w:ascii="Times New Roman" w:hAnsi="Times New Roman"/>
          <w:sz w:val="22"/>
          <w:szCs w:val="22"/>
        </w:rPr>
        <w:t>).</w:t>
      </w:r>
    </w:p>
  </w:footnote>
  <w:footnote w:id="4">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spellStart"/>
      <w:r w:rsidRPr="00941C9F">
        <w:rPr>
          <w:rFonts w:ascii="Times New Roman" w:hAnsi="Times New Roman"/>
          <w:sz w:val="22"/>
          <w:szCs w:val="22"/>
        </w:rPr>
        <w:t>Turabian</w:t>
      </w:r>
      <w:proofErr w:type="spellEnd"/>
      <w:r w:rsidRPr="00941C9F">
        <w:rPr>
          <w:rFonts w:ascii="Times New Roman" w:hAnsi="Times New Roman"/>
          <w:sz w:val="22"/>
          <w:szCs w:val="22"/>
        </w:rPr>
        <w:t xml:space="preserve">, </w:t>
      </w:r>
      <w:r w:rsidRPr="00941C9F">
        <w:rPr>
          <w:rFonts w:ascii="Times New Roman" w:hAnsi="Times New Roman"/>
          <w:i/>
          <w:sz w:val="22"/>
          <w:szCs w:val="22"/>
        </w:rPr>
        <w:t>Manual for Writers</w:t>
      </w:r>
      <w:r w:rsidRPr="00941C9F">
        <w:rPr>
          <w:rFonts w:ascii="Times New Roman" w:hAnsi="Times New Roman"/>
          <w:sz w:val="22"/>
          <w:szCs w:val="22"/>
        </w:rPr>
        <w:t>, 19–20.</w:t>
      </w:r>
    </w:p>
  </w:footnote>
  <w:footnote w:id="5">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Jenny L. </w:t>
      </w:r>
      <w:proofErr w:type="spellStart"/>
      <w:r w:rsidRPr="00941C9F">
        <w:rPr>
          <w:rFonts w:ascii="Times New Roman" w:hAnsi="Times New Roman"/>
          <w:sz w:val="22"/>
          <w:szCs w:val="22"/>
        </w:rPr>
        <w:t>Presnell</w:t>
      </w:r>
      <w:proofErr w:type="spellEnd"/>
      <w:r w:rsidRPr="00941C9F">
        <w:rPr>
          <w:rFonts w:ascii="Times New Roman" w:hAnsi="Times New Roman"/>
          <w:sz w:val="22"/>
          <w:szCs w:val="22"/>
        </w:rPr>
        <w:t xml:space="preserve">, </w:t>
      </w:r>
      <w:r w:rsidRPr="00941C9F">
        <w:rPr>
          <w:rFonts w:ascii="Times New Roman" w:hAnsi="Times New Roman"/>
          <w:i/>
          <w:sz w:val="22"/>
          <w:szCs w:val="22"/>
        </w:rPr>
        <w:t>The Information-Literate Historian: A Guide to Research for History Students</w:t>
      </w:r>
      <w:r w:rsidRPr="00941C9F">
        <w:rPr>
          <w:rFonts w:ascii="Times New Roman" w:hAnsi="Times New Roman"/>
          <w:sz w:val="22"/>
          <w:szCs w:val="22"/>
        </w:rPr>
        <w:t>, 2</w:t>
      </w:r>
      <w:r w:rsidRPr="00941C9F">
        <w:rPr>
          <w:rFonts w:ascii="Times New Roman" w:hAnsi="Times New Roman"/>
          <w:sz w:val="22"/>
          <w:szCs w:val="22"/>
          <w:vertAlign w:val="superscript"/>
        </w:rPr>
        <w:t>nd</w:t>
      </w:r>
      <w:r w:rsidRPr="00941C9F">
        <w:rPr>
          <w:rFonts w:ascii="Times New Roman" w:hAnsi="Times New Roman"/>
          <w:sz w:val="22"/>
          <w:szCs w:val="22"/>
        </w:rPr>
        <w:t xml:space="preserve"> edition, (New York: Oxford University Press), 13.</w:t>
      </w:r>
    </w:p>
  </w:footnote>
  <w:footnote w:id="6">
    <w:p w:rsidR="00FF6C3A" w:rsidRPr="00D90BFB" w:rsidRDefault="00FF6C3A" w:rsidP="00941C9F">
      <w:pPr>
        <w:pStyle w:val="FootnoteText"/>
        <w:ind w:firstLine="720"/>
        <w:rPr>
          <w:rFonts w:ascii="Times New Roman" w:hAnsi="Times New Roman"/>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spellStart"/>
      <w:r w:rsidRPr="00941C9F">
        <w:rPr>
          <w:rFonts w:ascii="Times New Roman" w:hAnsi="Times New Roman"/>
          <w:sz w:val="22"/>
          <w:szCs w:val="22"/>
        </w:rPr>
        <w:t>Turabian</w:t>
      </w:r>
      <w:proofErr w:type="spellEnd"/>
      <w:r w:rsidRPr="00941C9F">
        <w:rPr>
          <w:rFonts w:ascii="Times New Roman" w:hAnsi="Times New Roman"/>
          <w:i/>
          <w:sz w:val="22"/>
          <w:szCs w:val="22"/>
        </w:rPr>
        <w:t>, Manual for Writers</w:t>
      </w:r>
      <w:r w:rsidRPr="00941C9F">
        <w:rPr>
          <w:rFonts w:ascii="Times New Roman" w:hAnsi="Times New Roman"/>
          <w:sz w:val="22"/>
          <w:szCs w:val="22"/>
        </w:rPr>
        <w:t>, 18.</w:t>
      </w:r>
    </w:p>
  </w:footnote>
  <w:footnote w:id="7">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spellStart"/>
      <w:r w:rsidRPr="00941C9F">
        <w:rPr>
          <w:rFonts w:ascii="Times New Roman" w:hAnsi="Times New Roman"/>
          <w:sz w:val="22"/>
          <w:szCs w:val="22"/>
        </w:rPr>
        <w:t>Presnell</w:t>
      </w:r>
      <w:proofErr w:type="spellEnd"/>
      <w:r w:rsidRPr="00941C9F">
        <w:rPr>
          <w:rFonts w:ascii="Times New Roman" w:hAnsi="Times New Roman"/>
          <w:sz w:val="22"/>
          <w:szCs w:val="22"/>
        </w:rPr>
        <w:t xml:space="preserve">, </w:t>
      </w:r>
      <w:proofErr w:type="gramStart"/>
      <w:r w:rsidRPr="00941C9F">
        <w:rPr>
          <w:rFonts w:ascii="Times New Roman" w:hAnsi="Times New Roman"/>
          <w:i/>
          <w:sz w:val="22"/>
          <w:szCs w:val="22"/>
        </w:rPr>
        <w:t>The</w:t>
      </w:r>
      <w:proofErr w:type="gramEnd"/>
      <w:r w:rsidRPr="00941C9F">
        <w:rPr>
          <w:rFonts w:ascii="Times New Roman" w:hAnsi="Times New Roman"/>
          <w:i/>
          <w:sz w:val="22"/>
          <w:szCs w:val="22"/>
        </w:rPr>
        <w:t xml:space="preserve"> Information-Literate Historian</w:t>
      </w:r>
      <w:r w:rsidRPr="00941C9F">
        <w:rPr>
          <w:rFonts w:ascii="Times New Roman" w:hAnsi="Times New Roman"/>
          <w:sz w:val="22"/>
          <w:szCs w:val="22"/>
        </w:rPr>
        <w:t>, 13.</w:t>
      </w:r>
    </w:p>
  </w:footnote>
  <w:footnote w:id="8">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Jim Cullen, </w:t>
      </w:r>
      <w:r w:rsidRPr="00941C9F">
        <w:rPr>
          <w:rFonts w:ascii="Times New Roman" w:hAnsi="Times New Roman"/>
          <w:i/>
          <w:sz w:val="22"/>
          <w:szCs w:val="22"/>
        </w:rPr>
        <w:t>Essaying the Past: How to Read, Write, and Think about History</w:t>
      </w:r>
      <w:r w:rsidRPr="00941C9F">
        <w:rPr>
          <w:rFonts w:ascii="Times New Roman" w:hAnsi="Times New Roman"/>
          <w:sz w:val="22"/>
          <w:szCs w:val="22"/>
        </w:rPr>
        <w:t xml:space="preserve"> (Malden, MA: Wiley/Blackwell, 2009), 122.</w:t>
      </w:r>
    </w:p>
  </w:footnote>
  <w:footnote w:id="9">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A nice discussion about including counterarguments may be found on pages 92–94 in the 5</w:t>
      </w:r>
      <w:r w:rsidRPr="00941C9F">
        <w:rPr>
          <w:rFonts w:ascii="Times New Roman" w:hAnsi="Times New Roman"/>
          <w:sz w:val="22"/>
          <w:szCs w:val="22"/>
          <w:vertAlign w:val="superscript"/>
        </w:rPr>
        <w:t>th</w:t>
      </w:r>
      <w:r w:rsidRPr="00941C9F">
        <w:rPr>
          <w:rFonts w:ascii="Times New Roman" w:hAnsi="Times New Roman"/>
          <w:sz w:val="22"/>
          <w:szCs w:val="22"/>
        </w:rPr>
        <w:t xml:space="preserve"> edition of William Kelleher </w:t>
      </w:r>
      <w:proofErr w:type="spellStart"/>
      <w:r w:rsidRPr="00941C9F">
        <w:rPr>
          <w:rFonts w:ascii="Times New Roman" w:hAnsi="Times New Roman"/>
          <w:sz w:val="22"/>
          <w:szCs w:val="22"/>
        </w:rPr>
        <w:t>Storey</w:t>
      </w:r>
      <w:proofErr w:type="spellEnd"/>
      <w:r w:rsidRPr="00941C9F">
        <w:rPr>
          <w:rFonts w:ascii="Times New Roman" w:hAnsi="Times New Roman"/>
          <w:sz w:val="22"/>
          <w:szCs w:val="22"/>
        </w:rPr>
        <w:t xml:space="preserve">, </w:t>
      </w:r>
      <w:r w:rsidRPr="00941C9F">
        <w:rPr>
          <w:rFonts w:ascii="Times New Roman" w:hAnsi="Times New Roman"/>
          <w:i/>
          <w:sz w:val="22"/>
          <w:szCs w:val="22"/>
        </w:rPr>
        <w:t>Writing History: A Guide for Students</w:t>
      </w:r>
      <w:r w:rsidRPr="00941C9F">
        <w:rPr>
          <w:rFonts w:ascii="Times New Roman" w:hAnsi="Times New Roman"/>
          <w:sz w:val="22"/>
          <w:szCs w:val="22"/>
        </w:rPr>
        <w:t xml:space="preserve"> (New York: Oxford University Press, 2013).</w:t>
      </w:r>
    </w:p>
  </w:footnote>
  <w:footnote w:id="10">
    <w:p w:rsidR="00FF6C3A" w:rsidRPr="00941C9F" w:rsidRDefault="00FF6C3A" w:rsidP="00941C9F">
      <w:pPr>
        <w:pStyle w:val="FootnoteText"/>
        <w:ind w:firstLine="720"/>
        <w:rPr>
          <w:rFonts w:ascii="Times New Roman" w:hAnsi="Times New Roman"/>
          <w:sz w:val="24"/>
          <w:szCs w:val="24"/>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spellStart"/>
      <w:r w:rsidRPr="00941C9F">
        <w:rPr>
          <w:rFonts w:ascii="Times New Roman" w:hAnsi="Times New Roman"/>
          <w:sz w:val="22"/>
          <w:szCs w:val="22"/>
        </w:rPr>
        <w:t>Presnell</w:t>
      </w:r>
      <w:proofErr w:type="spellEnd"/>
      <w:r w:rsidRPr="00941C9F">
        <w:rPr>
          <w:rFonts w:ascii="Times New Roman" w:hAnsi="Times New Roman"/>
          <w:sz w:val="22"/>
          <w:szCs w:val="22"/>
        </w:rPr>
        <w:t xml:space="preserve">, </w:t>
      </w:r>
      <w:proofErr w:type="gramStart"/>
      <w:r w:rsidRPr="00941C9F">
        <w:rPr>
          <w:rFonts w:ascii="Times New Roman" w:hAnsi="Times New Roman"/>
          <w:i/>
          <w:sz w:val="22"/>
          <w:szCs w:val="22"/>
        </w:rPr>
        <w:t>The</w:t>
      </w:r>
      <w:proofErr w:type="gramEnd"/>
      <w:r w:rsidRPr="00941C9F">
        <w:rPr>
          <w:rFonts w:ascii="Times New Roman" w:hAnsi="Times New Roman"/>
          <w:i/>
          <w:sz w:val="22"/>
          <w:szCs w:val="22"/>
        </w:rPr>
        <w:t xml:space="preserve"> Information-Literate Historian</w:t>
      </w:r>
      <w:r w:rsidRPr="00941C9F">
        <w:rPr>
          <w:rFonts w:ascii="Times New Roman" w:hAnsi="Times New Roman"/>
          <w:sz w:val="22"/>
          <w:szCs w:val="22"/>
        </w:rPr>
        <w:t>, 288.</w:t>
      </w:r>
    </w:p>
  </w:footnote>
  <w:footnote w:id="11">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r w:rsidRPr="00941C9F">
        <w:rPr>
          <w:rFonts w:ascii="Times New Roman" w:hAnsi="Times New Roman"/>
          <w:i/>
          <w:iCs/>
          <w:sz w:val="22"/>
          <w:szCs w:val="22"/>
        </w:rPr>
        <w:t xml:space="preserve">Webster’s New Collegiate Dictionary </w:t>
      </w:r>
      <w:r w:rsidRPr="00941C9F">
        <w:rPr>
          <w:rFonts w:ascii="Times New Roman" w:hAnsi="Times New Roman"/>
          <w:sz w:val="22"/>
          <w:szCs w:val="22"/>
        </w:rPr>
        <w:t xml:space="preserve">(Springfield, MA., </w:t>
      </w:r>
      <w:r>
        <w:rPr>
          <w:rFonts w:ascii="Times New Roman" w:hAnsi="Times New Roman"/>
          <w:sz w:val="22"/>
          <w:szCs w:val="22"/>
        </w:rPr>
        <w:t>Houghton Mifflin Co.</w:t>
      </w:r>
      <w:proofErr w:type="gramStart"/>
      <w:r>
        <w:rPr>
          <w:rFonts w:ascii="Times New Roman" w:hAnsi="Times New Roman"/>
          <w:sz w:val="22"/>
          <w:szCs w:val="22"/>
        </w:rPr>
        <w:t>,</w:t>
      </w:r>
      <w:r w:rsidRPr="00941C9F">
        <w:rPr>
          <w:rFonts w:ascii="Times New Roman" w:hAnsi="Times New Roman"/>
          <w:sz w:val="22"/>
          <w:szCs w:val="22"/>
        </w:rPr>
        <w:t>1974</w:t>
      </w:r>
      <w:proofErr w:type="gramEnd"/>
      <w:r w:rsidRPr="00941C9F">
        <w:rPr>
          <w:rFonts w:ascii="Times New Roman" w:hAnsi="Times New Roman"/>
          <w:sz w:val="22"/>
          <w:szCs w:val="22"/>
        </w:rPr>
        <w:t>), 488.</w:t>
      </w:r>
    </w:p>
  </w:footnote>
  <w:footnote w:id="12">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Homer J. </w:t>
      </w:r>
      <w:proofErr w:type="gramStart"/>
      <w:r w:rsidRPr="00941C9F">
        <w:rPr>
          <w:rFonts w:ascii="Times New Roman" w:hAnsi="Times New Roman"/>
          <w:sz w:val="22"/>
          <w:szCs w:val="22"/>
        </w:rPr>
        <w:t>Simpson,</w:t>
      </w:r>
      <w:proofErr w:type="gramEnd"/>
      <w:r w:rsidRPr="00941C9F">
        <w:rPr>
          <w:rFonts w:ascii="Times New Roman" w:hAnsi="Times New Roman"/>
          <w:sz w:val="22"/>
          <w:szCs w:val="22"/>
        </w:rPr>
        <w:t xml:space="preserve"> </w:t>
      </w:r>
      <w:r w:rsidRPr="00941C9F">
        <w:rPr>
          <w:rFonts w:ascii="Times New Roman" w:hAnsi="Times New Roman"/>
          <w:i/>
          <w:iCs/>
          <w:sz w:val="22"/>
          <w:szCs w:val="22"/>
        </w:rPr>
        <w:t xml:space="preserve">Frosted Donuts and the Nuclear Power Plant Safety Inspector </w:t>
      </w:r>
      <w:r w:rsidRPr="00941C9F">
        <w:rPr>
          <w:rFonts w:ascii="Times New Roman" w:hAnsi="Times New Roman"/>
          <w:sz w:val="22"/>
          <w:szCs w:val="22"/>
        </w:rPr>
        <w:t>(Springfield,</w:t>
      </w:r>
      <w:r>
        <w:rPr>
          <w:rFonts w:ascii="Times New Roman" w:hAnsi="Times New Roman"/>
          <w:sz w:val="22"/>
          <w:szCs w:val="22"/>
        </w:rPr>
        <w:t xml:space="preserve"> MA: Springfield UP,</w:t>
      </w:r>
      <w:r w:rsidRPr="00941C9F">
        <w:rPr>
          <w:rFonts w:ascii="Times New Roman" w:hAnsi="Times New Roman"/>
          <w:sz w:val="22"/>
          <w:szCs w:val="22"/>
        </w:rPr>
        <w:t xml:space="preserve"> 1998), 231-245.</w:t>
      </w:r>
    </w:p>
  </w:footnote>
  <w:footnote w:id="13">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Tony Soprano, “Waste Management and the Legitimate Businessman,” </w:t>
      </w:r>
      <w:r w:rsidRPr="00941C9F">
        <w:rPr>
          <w:i/>
          <w:iCs/>
        </w:rPr>
        <w:t xml:space="preserve">Journal of Organized Crime </w:t>
      </w:r>
      <w:r w:rsidRPr="00941C9F">
        <w:t>28, no. 2 (Summer 2000), 142-166.</w:t>
      </w:r>
    </w:p>
  </w:footnote>
  <w:footnote w:id="14">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Lisa Simpson, “Why Do We ‘Vote </w:t>
      </w:r>
      <w:proofErr w:type="spellStart"/>
      <w:r w:rsidRPr="00941C9F">
        <w:rPr>
          <w:rFonts w:ascii="Times New Roman" w:hAnsi="Times New Roman"/>
          <w:sz w:val="22"/>
          <w:szCs w:val="22"/>
        </w:rPr>
        <w:t>Quimby</w:t>
      </w:r>
      <w:proofErr w:type="spellEnd"/>
      <w:r w:rsidRPr="00941C9F">
        <w:rPr>
          <w:rFonts w:ascii="Times New Roman" w:hAnsi="Times New Roman"/>
          <w:sz w:val="22"/>
          <w:szCs w:val="22"/>
        </w:rPr>
        <w:t xml:space="preserve">’ Every Four Years?” </w:t>
      </w:r>
      <w:r w:rsidRPr="00941C9F">
        <w:rPr>
          <w:rFonts w:ascii="Times New Roman" w:hAnsi="Times New Roman"/>
          <w:i/>
          <w:iCs/>
          <w:sz w:val="22"/>
          <w:szCs w:val="22"/>
        </w:rPr>
        <w:t>The Springfield Herald</w:t>
      </w:r>
      <w:r w:rsidRPr="00941C9F">
        <w:rPr>
          <w:rFonts w:ascii="Times New Roman" w:hAnsi="Times New Roman"/>
          <w:sz w:val="22"/>
          <w:szCs w:val="22"/>
        </w:rPr>
        <w:t>, 13 Dec. 1998.</w:t>
      </w:r>
    </w:p>
  </w:footnote>
  <w:footnote w:id="15">
    <w:p w:rsidR="00FF6C3A" w:rsidRPr="00941C9F" w:rsidRDefault="00FF6C3A" w:rsidP="00941C9F">
      <w:pPr>
        <w:autoSpaceDE w:val="0"/>
        <w:autoSpaceDN w:val="0"/>
        <w:adjustRightInd w:val="0"/>
        <w:spacing w:after="0"/>
        <w:ind w:firstLine="720"/>
        <w:rPr>
          <w:i/>
          <w:iCs/>
        </w:rPr>
      </w:pPr>
      <w:r w:rsidRPr="00941C9F">
        <w:rPr>
          <w:rStyle w:val="FootnoteReference"/>
        </w:rPr>
        <w:footnoteRef/>
      </w:r>
      <w:r w:rsidRPr="00941C9F">
        <w:t xml:space="preserve"> </w:t>
      </w:r>
      <w:proofErr w:type="gramStart"/>
      <w:r w:rsidRPr="00941C9F">
        <w:t xml:space="preserve">“Minutes of the Mayor’s Committee on Waste Management, June 10, 1993,” </w:t>
      </w:r>
      <w:r w:rsidRPr="00941C9F">
        <w:rPr>
          <w:i/>
          <w:iCs/>
        </w:rPr>
        <w:t>Springfield Government Documents</w:t>
      </w:r>
      <w:r w:rsidRPr="00941C9F">
        <w:t>, 12 vols. (Springfield, 1988-2000) 4:102-106.</w:t>
      </w:r>
      <w:proofErr w:type="gramEnd"/>
    </w:p>
  </w:footnote>
  <w:footnote w:id="16">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w:t>
      </w:r>
      <w:proofErr w:type="spellStart"/>
      <w:r w:rsidRPr="00941C9F">
        <w:t>Quimby</w:t>
      </w:r>
      <w:proofErr w:type="spellEnd"/>
      <w:r w:rsidRPr="00941C9F">
        <w:t xml:space="preserve"> Secret Directive No. 57,” 15 April 1996, File 114.1, Joseph </w:t>
      </w:r>
      <w:proofErr w:type="spellStart"/>
      <w:r w:rsidRPr="00941C9F">
        <w:t>Quimby</w:t>
      </w:r>
      <w:proofErr w:type="spellEnd"/>
      <w:r w:rsidRPr="00941C9F">
        <w:t xml:space="preserve"> Papers, Springfield Historical Society, Springfield</w:t>
      </w:r>
      <w:r w:rsidR="008C32A2">
        <w:t>, MA</w:t>
      </w:r>
      <w:r w:rsidRPr="00941C9F">
        <w:t>. Used with permission.</w:t>
      </w:r>
    </w:p>
  </w:footnote>
  <w:footnote w:id="17">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“Diamond” Joe </w:t>
      </w:r>
      <w:proofErr w:type="spellStart"/>
      <w:r w:rsidRPr="00941C9F">
        <w:t>Quimby</w:t>
      </w:r>
      <w:proofErr w:type="spellEnd"/>
      <w:r w:rsidRPr="00941C9F">
        <w:t xml:space="preserve">, “Why You Idiots Should Keep Electing Me,” in Waylon Smithers, ed., </w:t>
      </w:r>
      <w:proofErr w:type="gramStart"/>
      <w:r w:rsidRPr="00941C9F">
        <w:rPr>
          <w:i/>
          <w:iCs/>
        </w:rPr>
        <w:t>The</w:t>
      </w:r>
      <w:proofErr w:type="gramEnd"/>
      <w:r w:rsidRPr="00941C9F">
        <w:rPr>
          <w:i/>
          <w:iCs/>
        </w:rPr>
        <w:t xml:space="preserve"> Stump Speeches of Mayor “Diamond” Joseph </w:t>
      </w:r>
      <w:proofErr w:type="spellStart"/>
      <w:r w:rsidRPr="00941C9F">
        <w:rPr>
          <w:i/>
          <w:iCs/>
        </w:rPr>
        <w:t>Quimby</w:t>
      </w:r>
      <w:proofErr w:type="spellEnd"/>
      <w:r w:rsidRPr="00941C9F">
        <w:rPr>
          <w:i/>
          <w:iCs/>
        </w:rPr>
        <w:t xml:space="preserve">, 1990-2000 </w:t>
      </w:r>
      <w:r>
        <w:t xml:space="preserve">(Springfield, MA: Springfield UP, </w:t>
      </w:r>
      <w:r w:rsidRPr="00941C9F">
        <w:t>2001), 303-07.</w:t>
      </w:r>
    </w:p>
  </w:footnote>
  <w:footnote w:id="18">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“Deposition of Luigi Risotto v. Marion Anthony ‘Fat Tony’ D’Amico,” in Lionel </w:t>
      </w:r>
      <w:proofErr w:type="spellStart"/>
      <w:r w:rsidRPr="00941C9F">
        <w:rPr>
          <w:rFonts w:ascii="Times New Roman" w:hAnsi="Times New Roman"/>
          <w:sz w:val="22"/>
          <w:szCs w:val="22"/>
        </w:rPr>
        <w:t>Hutz</w:t>
      </w:r>
      <w:proofErr w:type="spellEnd"/>
      <w:r w:rsidRPr="00941C9F">
        <w:rPr>
          <w:rFonts w:ascii="Times New Roman" w:hAnsi="Times New Roman"/>
          <w:sz w:val="22"/>
          <w:szCs w:val="22"/>
        </w:rPr>
        <w:t xml:space="preserve">, ed., </w:t>
      </w:r>
      <w:r w:rsidRPr="00941C9F">
        <w:rPr>
          <w:rFonts w:ascii="Times New Roman" w:hAnsi="Times New Roman"/>
          <w:i/>
          <w:sz w:val="22"/>
          <w:szCs w:val="22"/>
        </w:rPr>
        <w:t>Records of the Trial of “Fat Tony” D’Amico</w:t>
      </w:r>
      <w:r w:rsidRPr="00941C9F">
        <w:rPr>
          <w:rFonts w:ascii="Times New Roman" w:hAnsi="Times New Roman"/>
          <w:sz w:val="22"/>
          <w:szCs w:val="22"/>
        </w:rPr>
        <w:t xml:space="preserve"> (Capital City,</w:t>
      </w:r>
      <w:r>
        <w:rPr>
          <w:rFonts w:ascii="Times New Roman" w:hAnsi="Times New Roman"/>
          <w:sz w:val="22"/>
          <w:szCs w:val="22"/>
        </w:rPr>
        <w:t xml:space="preserve"> MA: Capital Press,</w:t>
      </w:r>
      <w:r w:rsidRPr="00941C9F">
        <w:rPr>
          <w:rFonts w:ascii="Times New Roman" w:hAnsi="Times New Roman"/>
          <w:sz w:val="22"/>
          <w:szCs w:val="22"/>
        </w:rPr>
        <w:t xml:space="preserve"> 2009), 317-328.</w:t>
      </w:r>
    </w:p>
  </w:footnote>
  <w:footnote w:id="19">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w:t>
      </w:r>
      <w:proofErr w:type="gramStart"/>
      <w:r w:rsidRPr="00941C9F">
        <w:t xml:space="preserve">Vito Corleone to Hyman Roth, 12 Oct. </w:t>
      </w:r>
      <w:r w:rsidR="008C32A2">
        <w:t xml:space="preserve">1936, Vito Corleone Papers, New </w:t>
      </w:r>
      <w:r w:rsidRPr="00941C9F">
        <w:t>York Historical Society, New York.</w:t>
      </w:r>
      <w:proofErr w:type="gramEnd"/>
      <w:r>
        <w:t xml:space="preserve">  </w:t>
      </w:r>
      <w:r w:rsidRPr="00941C9F">
        <w:t>Used with permission.</w:t>
      </w:r>
    </w:p>
  </w:footnote>
  <w:footnote w:id="20">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w:t>
      </w:r>
      <w:proofErr w:type="gramStart"/>
      <w:r w:rsidRPr="00941C9F">
        <w:rPr>
          <w:rFonts w:ascii="Times New Roman" w:hAnsi="Times New Roman"/>
          <w:sz w:val="22"/>
          <w:szCs w:val="22"/>
        </w:rPr>
        <w:t>Silvio Dante, in interview with the author, 13 April 1998.</w:t>
      </w:r>
      <w:proofErr w:type="gramEnd"/>
    </w:p>
  </w:footnote>
  <w:footnote w:id="21">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Ned Flanders, ed., </w:t>
      </w:r>
      <w:proofErr w:type="gramStart"/>
      <w:r w:rsidRPr="00941C9F">
        <w:rPr>
          <w:rFonts w:ascii="Times New Roman" w:hAnsi="Times New Roman"/>
          <w:i/>
          <w:iCs/>
          <w:sz w:val="22"/>
          <w:szCs w:val="22"/>
        </w:rPr>
        <w:t>The</w:t>
      </w:r>
      <w:proofErr w:type="gramEnd"/>
      <w:r w:rsidRPr="00941C9F">
        <w:rPr>
          <w:rFonts w:ascii="Times New Roman" w:hAnsi="Times New Roman"/>
          <w:i/>
          <w:iCs/>
          <w:sz w:val="22"/>
          <w:szCs w:val="22"/>
        </w:rPr>
        <w:t xml:space="preserve"> Early Theological Writings of Rev. Timothy Lovejoy </w:t>
      </w:r>
      <w:r w:rsidRPr="00941C9F">
        <w:rPr>
          <w:rFonts w:ascii="Times New Roman" w:hAnsi="Times New Roman"/>
          <w:sz w:val="22"/>
          <w:szCs w:val="22"/>
        </w:rPr>
        <w:t>(Springfield,</w:t>
      </w:r>
      <w:r>
        <w:rPr>
          <w:rFonts w:ascii="Times New Roman" w:hAnsi="Times New Roman"/>
          <w:sz w:val="22"/>
          <w:szCs w:val="22"/>
        </w:rPr>
        <w:t xml:space="preserve"> MA: Inspiration Press,</w:t>
      </w:r>
      <w:r w:rsidRPr="00941C9F">
        <w:rPr>
          <w:rFonts w:ascii="Times New Roman" w:hAnsi="Times New Roman"/>
          <w:sz w:val="22"/>
          <w:szCs w:val="22"/>
        </w:rPr>
        <w:t xml:space="preserve"> 1999), 45-99.</w:t>
      </w:r>
    </w:p>
  </w:footnote>
  <w:footnote w:id="22">
    <w:p w:rsidR="00FF6C3A" w:rsidRPr="00941C9F" w:rsidRDefault="00FF6C3A" w:rsidP="00941C9F">
      <w:pPr>
        <w:pStyle w:val="FootnoteText"/>
        <w:ind w:firstLine="720"/>
        <w:rPr>
          <w:rFonts w:ascii="Times New Roman" w:hAnsi="Times New Roman"/>
          <w:sz w:val="22"/>
          <w:szCs w:val="22"/>
        </w:rPr>
      </w:pPr>
      <w:r w:rsidRPr="00941C9F">
        <w:rPr>
          <w:rStyle w:val="FootnoteReference"/>
          <w:rFonts w:ascii="Times New Roman" w:hAnsi="Times New Roman"/>
          <w:sz w:val="22"/>
          <w:szCs w:val="22"/>
        </w:rPr>
        <w:footnoteRef/>
      </w:r>
      <w:r w:rsidRPr="00941C9F">
        <w:rPr>
          <w:rFonts w:ascii="Times New Roman" w:hAnsi="Times New Roman"/>
          <w:sz w:val="22"/>
          <w:szCs w:val="22"/>
        </w:rPr>
        <w:t xml:space="preserve"> Rev. Timothy Lovejoy, “How Ned Flanders Nearly Drove Me from the Ministry,” in Homer J. Simpson, ed., </w:t>
      </w:r>
      <w:r w:rsidRPr="00941C9F">
        <w:rPr>
          <w:rFonts w:ascii="Times New Roman" w:hAnsi="Times New Roman"/>
          <w:i/>
          <w:iCs/>
          <w:sz w:val="22"/>
          <w:szCs w:val="22"/>
        </w:rPr>
        <w:t xml:space="preserve">Ned Flanders is an Annoying Person </w:t>
      </w:r>
      <w:r w:rsidRPr="00941C9F">
        <w:rPr>
          <w:rFonts w:ascii="Times New Roman" w:hAnsi="Times New Roman"/>
          <w:sz w:val="22"/>
          <w:szCs w:val="22"/>
        </w:rPr>
        <w:t xml:space="preserve">(Springfield, </w:t>
      </w:r>
      <w:r>
        <w:rPr>
          <w:rFonts w:ascii="Times New Roman" w:hAnsi="Times New Roman"/>
          <w:sz w:val="22"/>
          <w:szCs w:val="22"/>
        </w:rPr>
        <w:t xml:space="preserve">MA: Springfield UP, </w:t>
      </w:r>
      <w:r w:rsidRPr="00941C9F">
        <w:rPr>
          <w:rFonts w:ascii="Times New Roman" w:hAnsi="Times New Roman"/>
          <w:sz w:val="22"/>
          <w:szCs w:val="22"/>
        </w:rPr>
        <w:t>1993), 78-121.</w:t>
      </w:r>
    </w:p>
  </w:footnote>
  <w:footnote w:id="23">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w:t>
      </w:r>
      <w:proofErr w:type="gramStart"/>
      <w:r w:rsidRPr="00941C9F">
        <w:t xml:space="preserve">Lisa Simpson, “The Lemon Tree Incident,” </w:t>
      </w:r>
      <w:proofErr w:type="spellStart"/>
      <w:r w:rsidRPr="00941C9F">
        <w:t>s.v</w:t>
      </w:r>
      <w:proofErr w:type="spellEnd"/>
      <w:r w:rsidRPr="00941C9F">
        <w:t xml:space="preserve">., </w:t>
      </w:r>
      <w:r w:rsidRPr="00941C9F">
        <w:rPr>
          <w:i/>
          <w:iCs/>
        </w:rPr>
        <w:t>Encyclopedia of Springfield</w:t>
      </w:r>
      <w:r w:rsidRPr="00941C9F">
        <w:t>, Seymour Skinner, ed. (Springfield, 2002), 566-567.</w:t>
      </w:r>
      <w:proofErr w:type="gramEnd"/>
      <w:r>
        <w:t xml:space="preserve">  </w:t>
      </w:r>
      <w:r w:rsidRPr="00941C9F">
        <w:t xml:space="preserve">Specialized encyclopedias are much more acceptable than general ones like the </w:t>
      </w:r>
      <w:r w:rsidRPr="00941C9F">
        <w:rPr>
          <w:i/>
        </w:rPr>
        <w:t>Encyclopedia Britannica</w:t>
      </w:r>
      <w:r w:rsidRPr="00941C9F">
        <w:t xml:space="preserve"> or </w:t>
      </w:r>
      <w:r w:rsidRPr="00941C9F">
        <w:rPr>
          <w:i/>
        </w:rPr>
        <w:t>Wikipedia</w:t>
      </w:r>
      <w:r w:rsidRPr="00941C9F">
        <w:t>, which are not acceptable resources for college students.</w:t>
      </w:r>
    </w:p>
  </w:footnote>
  <w:footnote w:id="24">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w:t>
      </w:r>
      <w:proofErr w:type="gramStart"/>
      <w:r w:rsidRPr="00941C9F">
        <w:t xml:space="preserve">Moe </w:t>
      </w:r>
      <w:proofErr w:type="spellStart"/>
      <w:r w:rsidRPr="00941C9F">
        <w:t>Sizlak</w:t>
      </w:r>
      <w:proofErr w:type="spellEnd"/>
      <w:r w:rsidRPr="00941C9F">
        <w:t xml:space="preserve">, review of Barney Gumbel, </w:t>
      </w:r>
      <w:r w:rsidRPr="00941C9F">
        <w:rPr>
          <w:i/>
          <w:iCs/>
        </w:rPr>
        <w:t>My Life through a Beer Mug</w:t>
      </w:r>
      <w:r w:rsidRPr="00941C9F">
        <w:t xml:space="preserve">, in </w:t>
      </w:r>
      <w:r w:rsidRPr="00941C9F">
        <w:rPr>
          <w:i/>
          <w:iCs/>
        </w:rPr>
        <w:t xml:space="preserve">Springfield Quarterly </w:t>
      </w:r>
      <w:r w:rsidRPr="00941C9F">
        <w:t>56 (Oct. 2002), 69-72.</w:t>
      </w:r>
      <w:proofErr w:type="gramEnd"/>
    </w:p>
  </w:footnote>
  <w:footnote w:id="25">
    <w:p w:rsidR="00FF6C3A" w:rsidRPr="00941C9F" w:rsidRDefault="00FF6C3A" w:rsidP="00941C9F">
      <w:pPr>
        <w:autoSpaceDE w:val="0"/>
        <w:autoSpaceDN w:val="0"/>
        <w:adjustRightInd w:val="0"/>
        <w:spacing w:after="0"/>
        <w:ind w:firstLine="720"/>
      </w:pPr>
      <w:r w:rsidRPr="00941C9F">
        <w:rPr>
          <w:rStyle w:val="FootnoteReference"/>
        </w:rPr>
        <w:footnoteRef/>
      </w:r>
      <w:r w:rsidRPr="00941C9F">
        <w:t xml:space="preserve"> </w:t>
      </w:r>
      <w:proofErr w:type="gramStart"/>
      <w:r w:rsidRPr="00941C9F">
        <w:t>“</w:t>
      </w:r>
      <w:proofErr w:type="spellStart"/>
      <w:r w:rsidRPr="00941C9F">
        <w:t>Jebediah</w:t>
      </w:r>
      <w:proofErr w:type="spellEnd"/>
      <w:r w:rsidRPr="00941C9F">
        <w:t xml:space="preserve"> Springfield and the Founding of Springfield,” Springfield Digital Library Manuscript Collection.</w:t>
      </w:r>
      <w:proofErr w:type="gramEnd"/>
      <w:r w:rsidRPr="00941C9F">
        <w:t xml:space="preserve"> &lt;http://www.springfield.com/history/js/founding.html&gt;.</w:t>
      </w:r>
    </w:p>
  </w:footnote>
  <w:footnote w:id="26">
    <w:p w:rsidR="00FF6C3A" w:rsidRPr="00123350" w:rsidRDefault="00FF6C3A" w:rsidP="00123350">
      <w:pPr>
        <w:pStyle w:val="FootnoteText"/>
        <w:rPr>
          <w:rFonts w:ascii="Times New Roman" w:hAnsi="Times New Roman"/>
          <w:sz w:val="22"/>
          <w:szCs w:val="22"/>
        </w:rPr>
      </w:pPr>
      <w:r w:rsidRPr="00123350">
        <w:rPr>
          <w:rFonts w:ascii="Times New Roman" w:hAnsi="Times New Roman"/>
          <w:sz w:val="22"/>
          <w:szCs w:val="22"/>
        </w:rPr>
        <w:tab/>
      </w:r>
      <w:r w:rsidRPr="00123350">
        <w:rPr>
          <w:rStyle w:val="FootnoteReference"/>
          <w:rFonts w:ascii="Times New Roman" w:hAnsi="Times New Roman"/>
          <w:sz w:val="22"/>
          <w:szCs w:val="22"/>
        </w:rPr>
        <w:footnoteRef/>
      </w:r>
      <w:r w:rsidRPr="00123350">
        <w:rPr>
          <w:rFonts w:ascii="Times New Roman" w:hAnsi="Times New Roman"/>
          <w:sz w:val="22"/>
          <w:szCs w:val="22"/>
        </w:rPr>
        <w:t xml:space="preserve"> </w:t>
      </w:r>
      <w:proofErr w:type="gramStart"/>
      <w:r w:rsidRPr="00123350">
        <w:rPr>
          <w:rFonts w:ascii="Times New Roman" w:hAnsi="Times New Roman"/>
          <w:sz w:val="22"/>
          <w:szCs w:val="22"/>
        </w:rPr>
        <w:t xml:space="preserve">Simpson, </w:t>
      </w:r>
      <w:r w:rsidRPr="00123350">
        <w:rPr>
          <w:rFonts w:ascii="Times New Roman" w:hAnsi="Times New Roman"/>
          <w:i/>
          <w:iCs/>
          <w:sz w:val="22"/>
          <w:szCs w:val="22"/>
        </w:rPr>
        <w:t>Frosted Donuts</w:t>
      </w:r>
      <w:r w:rsidRPr="00123350">
        <w:rPr>
          <w:rFonts w:ascii="Times New Roman" w:hAnsi="Times New Roman"/>
          <w:sz w:val="22"/>
          <w:szCs w:val="22"/>
        </w:rPr>
        <w:t>, 321.</w:t>
      </w:r>
      <w:proofErr w:type="gramEnd"/>
    </w:p>
  </w:footnote>
  <w:footnote w:id="27">
    <w:p w:rsidR="00FF6C3A" w:rsidRPr="00123350" w:rsidRDefault="00FF6C3A" w:rsidP="00123350">
      <w:pPr>
        <w:pStyle w:val="FootnoteText"/>
        <w:rPr>
          <w:rFonts w:ascii="Times New Roman" w:hAnsi="Times New Roman"/>
          <w:sz w:val="22"/>
          <w:szCs w:val="22"/>
        </w:rPr>
      </w:pPr>
      <w:r w:rsidRPr="00123350">
        <w:rPr>
          <w:rFonts w:ascii="Times New Roman" w:hAnsi="Times New Roman"/>
          <w:sz w:val="22"/>
          <w:szCs w:val="22"/>
        </w:rPr>
        <w:tab/>
      </w:r>
      <w:r w:rsidRPr="00123350">
        <w:rPr>
          <w:rStyle w:val="FootnoteReference"/>
          <w:rFonts w:ascii="Times New Roman" w:hAnsi="Times New Roman"/>
          <w:sz w:val="22"/>
          <w:szCs w:val="22"/>
        </w:rPr>
        <w:footnoteRef/>
      </w:r>
      <w:r w:rsidRPr="00123350">
        <w:rPr>
          <w:rFonts w:ascii="Times New Roman" w:hAnsi="Times New Roman"/>
          <w:sz w:val="22"/>
          <w:szCs w:val="22"/>
        </w:rPr>
        <w:t xml:space="preserve"> Tony Soprano to “</w:t>
      </w:r>
      <w:proofErr w:type="spellStart"/>
      <w:r w:rsidRPr="00123350">
        <w:rPr>
          <w:rFonts w:ascii="Times New Roman" w:hAnsi="Times New Roman"/>
          <w:sz w:val="22"/>
          <w:szCs w:val="22"/>
        </w:rPr>
        <w:t>Feech</w:t>
      </w:r>
      <w:proofErr w:type="spellEnd"/>
      <w:r w:rsidRPr="00123350">
        <w:rPr>
          <w:rFonts w:ascii="Times New Roman" w:hAnsi="Times New Roman"/>
          <w:sz w:val="22"/>
          <w:szCs w:val="22"/>
        </w:rPr>
        <w:t xml:space="preserve">” </w:t>
      </w:r>
      <w:proofErr w:type="spellStart"/>
      <w:r w:rsidRPr="00123350">
        <w:rPr>
          <w:rFonts w:ascii="Times New Roman" w:hAnsi="Times New Roman"/>
          <w:sz w:val="22"/>
          <w:szCs w:val="22"/>
        </w:rPr>
        <w:t>Lamanna</w:t>
      </w:r>
      <w:proofErr w:type="spellEnd"/>
      <w:r w:rsidRPr="00123350">
        <w:rPr>
          <w:rFonts w:ascii="Times New Roman" w:hAnsi="Times New Roman"/>
          <w:sz w:val="22"/>
          <w:szCs w:val="22"/>
        </w:rPr>
        <w:t xml:space="preserve">, telephone conversation recorded through an F.B.I. wiretap, 15 September 2003; David Chase, </w:t>
      </w:r>
      <w:r w:rsidRPr="00123350">
        <w:rPr>
          <w:rFonts w:ascii="Times New Roman" w:hAnsi="Times New Roman"/>
          <w:i/>
          <w:sz w:val="22"/>
          <w:szCs w:val="22"/>
        </w:rPr>
        <w:t>A World All Their Own: A Study of Organized Crime in Northern New Jersey, 1955-2005</w:t>
      </w:r>
      <w:r>
        <w:rPr>
          <w:rFonts w:ascii="Times New Roman" w:hAnsi="Times New Roman"/>
          <w:sz w:val="22"/>
          <w:szCs w:val="22"/>
        </w:rPr>
        <w:t xml:space="preserve"> (New York: Criminal Press,</w:t>
      </w:r>
      <w:r w:rsidRPr="00123350">
        <w:rPr>
          <w:rFonts w:ascii="Times New Roman" w:hAnsi="Times New Roman"/>
          <w:sz w:val="22"/>
          <w:szCs w:val="22"/>
        </w:rPr>
        <w:t xml:space="preserve"> 2005), 258-289.</w:t>
      </w:r>
    </w:p>
  </w:footnote>
  <w:footnote w:id="28">
    <w:p w:rsidR="00FF6C3A" w:rsidRPr="00123350" w:rsidRDefault="00FF6C3A" w:rsidP="00123350">
      <w:pPr>
        <w:autoSpaceDE w:val="0"/>
        <w:autoSpaceDN w:val="0"/>
        <w:adjustRightInd w:val="0"/>
        <w:spacing w:after="0"/>
        <w:ind w:firstLine="720"/>
      </w:pPr>
      <w:r w:rsidRPr="00123350">
        <w:rPr>
          <w:rStyle w:val="FootnoteReference"/>
        </w:rPr>
        <w:footnoteRef/>
      </w:r>
      <w:r w:rsidRPr="00123350">
        <w:t xml:space="preserve"> Carmella Soprano, </w:t>
      </w:r>
      <w:r w:rsidRPr="00123350">
        <w:rPr>
          <w:i/>
          <w:iCs/>
        </w:rPr>
        <w:t xml:space="preserve">The Mafia Wife’s Household Companion </w:t>
      </w:r>
      <w:r>
        <w:t xml:space="preserve">(Newark: </w:t>
      </w:r>
      <w:proofErr w:type="spellStart"/>
      <w:r>
        <w:t>Bada</w:t>
      </w:r>
      <w:proofErr w:type="spellEnd"/>
      <w:r>
        <w:t xml:space="preserve"> Bing Press, </w:t>
      </w:r>
      <w:r w:rsidRPr="00123350">
        <w:t xml:space="preserve">2002), 45-51; Marge Simpson, </w:t>
      </w:r>
      <w:r w:rsidRPr="00123350">
        <w:rPr>
          <w:i/>
          <w:iCs/>
        </w:rPr>
        <w:t xml:space="preserve">Cooking for a Man with a Big Appetite </w:t>
      </w:r>
      <w:r w:rsidRPr="00123350">
        <w:t>(Springfield,</w:t>
      </w:r>
      <w:r>
        <w:t xml:space="preserve"> MA: C. M. Burns, Inc.,</w:t>
      </w:r>
      <w:r w:rsidRPr="00123350">
        <w:t xml:space="preserve"> 1999), 16-33. For a contrasting opinion, see Adriana </w:t>
      </w:r>
      <w:proofErr w:type="spellStart"/>
      <w:r w:rsidRPr="00123350">
        <w:t>Lacerva</w:t>
      </w:r>
      <w:proofErr w:type="spellEnd"/>
      <w:r w:rsidRPr="00123350">
        <w:t xml:space="preserve">, </w:t>
      </w:r>
      <w:r w:rsidRPr="00123350">
        <w:rPr>
          <w:i/>
          <w:iCs/>
        </w:rPr>
        <w:t xml:space="preserve">Why Cook When You Can Eat Out? </w:t>
      </w:r>
      <w:r>
        <w:t>(Paramus, N.J.: Paramus Press,</w:t>
      </w:r>
      <w:r w:rsidRPr="00123350">
        <w:t xml:space="preserve"> 2001).</w:t>
      </w:r>
      <w:r>
        <w:t xml:space="preserve">  </w:t>
      </w:r>
      <w:r w:rsidRPr="00123350">
        <w:t>Mario Batali, in his dense analysis of southern Italian cuisine, argues that Italian food is not inherently high in fat and carbohydrates, but rather it is Italian-American cuisine that is fattening.</w:t>
      </w:r>
      <w:r>
        <w:t xml:space="preserve">  </w:t>
      </w:r>
      <w:r w:rsidRPr="00123350">
        <w:t>My own work contra</w:t>
      </w:r>
      <w:r>
        <w:t xml:space="preserve">dicts this splitting of hairs. </w:t>
      </w:r>
      <w:r w:rsidRPr="00123350">
        <w:t xml:space="preserve">See Mario Batali, </w:t>
      </w:r>
      <w:r w:rsidRPr="00123350">
        <w:rPr>
          <w:i/>
        </w:rPr>
        <w:t>Southern Italian Cuisine</w:t>
      </w:r>
      <w:r w:rsidRPr="00123350">
        <w:rPr>
          <w:rFonts w:ascii="TimesNewRoman" w:hAnsi="TimesNewRoman" w:cs="TimesNewRoman"/>
        </w:rPr>
        <w:t xml:space="preserve"> </w:t>
      </w:r>
      <w:r w:rsidRPr="00123350">
        <w:t>(New York</w:t>
      </w:r>
      <w:r>
        <w:t>: Vintage Books</w:t>
      </w:r>
      <w:r w:rsidRPr="00123350">
        <w:t xml:space="preserve">, 2003) and John Howard Smith, </w:t>
      </w:r>
      <w:r w:rsidRPr="00123350">
        <w:rPr>
          <w:i/>
        </w:rPr>
        <w:t>“That’s One Spicy Meatball”: Italian Food and Its American Expressions</w:t>
      </w:r>
      <w:r w:rsidRPr="00123350">
        <w:t xml:space="preserve"> (New York</w:t>
      </w:r>
      <w:r>
        <w:t>: Oxford UP</w:t>
      </w:r>
      <w:r w:rsidRPr="00123350">
        <w:t>, 2006).</w:t>
      </w:r>
    </w:p>
  </w:footnote>
  <w:footnote w:id="29">
    <w:p w:rsidR="00FF6C3A" w:rsidRPr="00CF1F54" w:rsidRDefault="00FF6C3A" w:rsidP="00CF1F54">
      <w:pPr>
        <w:pStyle w:val="FootnoteText"/>
        <w:rPr>
          <w:rFonts w:ascii="Times New Roman" w:hAnsi="Times New Roman"/>
          <w:sz w:val="22"/>
          <w:szCs w:val="22"/>
        </w:rPr>
      </w:pPr>
      <w:r w:rsidRPr="00CF1F54">
        <w:rPr>
          <w:rFonts w:ascii="Times New Roman" w:hAnsi="Times New Roman"/>
          <w:sz w:val="22"/>
          <w:szCs w:val="22"/>
        </w:rPr>
        <w:tab/>
      </w:r>
      <w:r w:rsidRPr="00CF1F54">
        <w:rPr>
          <w:rStyle w:val="FootnoteReference"/>
          <w:rFonts w:ascii="Times New Roman" w:hAnsi="Times New Roman"/>
          <w:sz w:val="22"/>
          <w:szCs w:val="22"/>
        </w:rPr>
        <w:footnoteRef/>
      </w:r>
      <w:r w:rsidRPr="00CF1F54">
        <w:rPr>
          <w:rFonts w:ascii="Times New Roman" w:hAnsi="Times New Roman"/>
          <w:sz w:val="22"/>
          <w:szCs w:val="22"/>
        </w:rPr>
        <w:t xml:space="preserve"> Most historians tend to do this in the preface of a monograph, which is a little less formal than an introduction or a chapter.</w:t>
      </w:r>
      <w:r>
        <w:rPr>
          <w:rFonts w:ascii="Times New Roman" w:hAnsi="Times New Roman"/>
          <w:sz w:val="22"/>
          <w:szCs w:val="22"/>
        </w:rPr>
        <w:t xml:space="preserve">  </w:t>
      </w:r>
      <w:r w:rsidRPr="00CF1F54">
        <w:rPr>
          <w:rFonts w:ascii="Times New Roman" w:hAnsi="Times New Roman"/>
          <w:sz w:val="22"/>
          <w:szCs w:val="22"/>
        </w:rPr>
        <w:t>It is rare to see it in a journal article.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0B7D"/>
    <w:multiLevelType w:val="hybridMultilevel"/>
    <w:tmpl w:val="C7CC77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F1D6D"/>
    <w:multiLevelType w:val="hybridMultilevel"/>
    <w:tmpl w:val="1646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86B36"/>
    <w:multiLevelType w:val="hybridMultilevel"/>
    <w:tmpl w:val="7CD2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B160A"/>
    <w:multiLevelType w:val="hybridMultilevel"/>
    <w:tmpl w:val="6C209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57562"/>
    <w:multiLevelType w:val="hybridMultilevel"/>
    <w:tmpl w:val="4656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87591"/>
    <w:multiLevelType w:val="hybridMultilevel"/>
    <w:tmpl w:val="3B4A06F6"/>
    <w:lvl w:ilvl="0" w:tplc="C5026E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4F"/>
    <w:rsid w:val="00060AD6"/>
    <w:rsid w:val="000A614F"/>
    <w:rsid w:val="000F675F"/>
    <w:rsid w:val="0012226D"/>
    <w:rsid w:val="00123350"/>
    <w:rsid w:val="00123A06"/>
    <w:rsid w:val="001330DC"/>
    <w:rsid w:val="001477FF"/>
    <w:rsid w:val="00191F35"/>
    <w:rsid w:val="00250591"/>
    <w:rsid w:val="002E5A0B"/>
    <w:rsid w:val="003377DF"/>
    <w:rsid w:val="003415A2"/>
    <w:rsid w:val="003617DC"/>
    <w:rsid w:val="003F0A79"/>
    <w:rsid w:val="00445CB6"/>
    <w:rsid w:val="00480EFA"/>
    <w:rsid w:val="004D055E"/>
    <w:rsid w:val="004D3402"/>
    <w:rsid w:val="00524F82"/>
    <w:rsid w:val="00541BCF"/>
    <w:rsid w:val="00573135"/>
    <w:rsid w:val="0073309A"/>
    <w:rsid w:val="00765A03"/>
    <w:rsid w:val="00813802"/>
    <w:rsid w:val="0086493A"/>
    <w:rsid w:val="008657B5"/>
    <w:rsid w:val="008B6831"/>
    <w:rsid w:val="008C32A2"/>
    <w:rsid w:val="0091018A"/>
    <w:rsid w:val="009250BA"/>
    <w:rsid w:val="00941C9F"/>
    <w:rsid w:val="00A10E91"/>
    <w:rsid w:val="00A128D2"/>
    <w:rsid w:val="00A40526"/>
    <w:rsid w:val="00AD0F60"/>
    <w:rsid w:val="00B23C9B"/>
    <w:rsid w:val="00BB77AE"/>
    <w:rsid w:val="00C6594F"/>
    <w:rsid w:val="00C72B45"/>
    <w:rsid w:val="00CB2B94"/>
    <w:rsid w:val="00CC5447"/>
    <w:rsid w:val="00CF1F54"/>
    <w:rsid w:val="00D90BFB"/>
    <w:rsid w:val="00E75619"/>
    <w:rsid w:val="00EB65F4"/>
    <w:rsid w:val="00ED6461"/>
    <w:rsid w:val="00ED7468"/>
    <w:rsid w:val="00F1581D"/>
    <w:rsid w:val="00F50FDC"/>
    <w:rsid w:val="00F857F4"/>
    <w:rsid w:val="00F96CE3"/>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4F"/>
    <w:pPr>
      <w:ind w:left="720"/>
      <w:contextualSpacing/>
    </w:pPr>
  </w:style>
  <w:style w:type="paragraph" w:styleId="FootnoteText">
    <w:name w:val="footnote text"/>
    <w:basedOn w:val="Normal"/>
    <w:link w:val="FootnoteTextChar"/>
    <w:uiPriority w:val="99"/>
    <w:semiHidden/>
    <w:unhideWhenUsed/>
    <w:rsid w:val="00E75619"/>
    <w:pPr>
      <w:spacing w:after="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75619"/>
    <w:rPr>
      <w:rFonts w:ascii="Calibri" w:eastAsia="Calibri" w:hAnsi="Calibri"/>
      <w:sz w:val="20"/>
      <w:szCs w:val="20"/>
    </w:rPr>
  </w:style>
  <w:style w:type="character" w:styleId="FootnoteReference">
    <w:name w:val="footnote reference"/>
    <w:semiHidden/>
    <w:unhideWhenUsed/>
    <w:rsid w:val="00E75619"/>
    <w:rPr>
      <w:vertAlign w:val="superscript"/>
    </w:rPr>
  </w:style>
  <w:style w:type="paragraph" w:styleId="Header">
    <w:name w:val="header"/>
    <w:basedOn w:val="Normal"/>
    <w:link w:val="HeaderChar"/>
    <w:uiPriority w:val="99"/>
    <w:unhideWhenUsed/>
    <w:rsid w:val="003377DF"/>
    <w:pPr>
      <w:tabs>
        <w:tab w:val="center" w:pos="4680"/>
        <w:tab w:val="right" w:pos="9360"/>
      </w:tabs>
      <w:spacing w:after="0"/>
    </w:pPr>
  </w:style>
  <w:style w:type="character" w:customStyle="1" w:styleId="HeaderChar">
    <w:name w:val="Header Char"/>
    <w:basedOn w:val="DefaultParagraphFont"/>
    <w:link w:val="Header"/>
    <w:uiPriority w:val="99"/>
    <w:rsid w:val="003377DF"/>
  </w:style>
  <w:style w:type="paragraph" w:styleId="Footer">
    <w:name w:val="footer"/>
    <w:basedOn w:val="Normal"/>
    <w:link w:val="FooterChar"/>
    <w:uiPriority w:val="99"/>
    <w:unhideWhenUsed/>
    <w:rsid w:val="003377DF"/>
    <w:pPr>
      <w:tabs>
        <w:tab w:val="center" w:pos="4680"/>
        <w:tab w:val="right" w:pos="9360"/>
      </w:tabs>
      <w:spacing w:after="0"/>
    </w:pPr>
  </w:style>
  <w:style w:type="character" w:customStyle="1" w:styleId="FooterChar">
    <w:name w:val="Footer Char"/>
    <w:basedOn w:val="DefaultParagraphFont"/>
    <w:link w:val="Footer"/>
    <w:uiPriority w:val="99"/>
    <w:rsid w:val="003377DF"/>
  </w:style>
  <w:style w:type="paragraph" w:styleId="BalloonText">
    <w:name w:val="Balloon Text"/>
    <w:basedOn w:val="Normal"/>
    <w:link w:val="BalloonTextChar"/>
    <w:uiPriority w:val="99"/>
    <w:semiHidden/>
    <w:unhideWhenUsed/>
    <w:rsid w:val="004D34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4F"/>
    <w:pPr>
      <w:ind w:left="720"/>
      <w:contextualSpacing/>
    </w:pPr>
  </w:style>
  <w:style w:type="paragraph" w:styleId="FootnoteText">
    <w:name w:val="footnote text"/>
    <w:basedOn w:val="Normal"/>
    <w:link w:val="FootnoteTextChar"/>
    <w:uiPriority w:val="99"/>
    <w:semiHidden/>
    <w:unhideWhenUsed/>
    <w:rsid w:val="00E75619"/>
    <w:pPr>
      <w:spacing w:after="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75619"/>
    <w:rPr>
      <w:rFonts w:ascii="Calibri" w:eastAsia="Calibri" w:hAnsi="Calibri"/>
      <w:sz w:val="20"/>
      <w:szCs w:val="20"/>
    </w:rPr>
  </w:style>
  <w:style w:type="character" w:styleId="FootnoteReference">
    <w:name w:val="footnote reference"/>
    <w:semiHidden/>
    <w:unhideWhenUsed/>
    <w:rsid w:val="00E75619"/>
    <w:rPr>
      <w:vertAlign w:val="superscript"/>
    </w:rPr>
  </w:style>
  <w:style w:type="paragraph" w:styleId="Header">
    <w:name w:val="header"/>
    <w:basedOn w:val="Normal"/>
    <w:link w:val="HeaderChar"/>
    <w:uiPriority w:val="99"/>
    <w:unhideWhenUsed/>
    <w:rsid w:val="003377DF"/>
    <w:pPr>
      <w:tabs>
        <w:tab w:val="center" w:pos="4680"/>
        <w:tab w:val="right" w:pos="9360"/>
      </w:tabs>
      <w:spacing w:after="0"/>
    </w:pPr>
  </w:style>
  <w:style w:type="character" w:customStyle="1" w:styleId="HeaderChar">
    <w:name w:val="Header Char"/>
    <w:basedOn w:val="DefaultParagraphFont"/>
    <w:link w:val="Header"/>
    <w:uiPriority w:val="99"/>
    <w:rsid w:val="003377DF"/>
  </w:style>
  <w:style w:type="paragraph" w:styleId="Footer">
    <w:name w:val="footer"/>
    <w:basedOn w:val="Normal"/>
    <w:link w:val="FooterChar"/>
    <w:uiPriority w:val="99"/>
    <w:unhideWhenUsed/>
    <w:rsid w:val="003377DF"/>
    <w:pPr>
      <w:tabs>
        <w:tab w:val="center" w:pos="4680"/>
        <w:tab w:val="right" w:pos="9360"/>
      </w:tabs>
      <w:spacing w:after="0"/>
    </w:pPr>
  </w:style>
  <w:style w:type="character" w:customStyle="1" w:styleId="FooterChar">
    <w:name w:val="Footer Char"/>
    <w:basedOn w:val="DefaultParagraphFont"/>
    <w:link w:val="Footer"/>
    <w:uiPriority w:val="99"/>
    <w:rsid w:val="003377DF"/>
  </w:style>
  <w:style w:type="paragraph" w:styleId="BalloonText">
    <w:name w:val="Balloon Text"/>
    <w:basedOn w:val="Normal"/>
    <w:link w:val="BalloonTextChar"/>
    <w:uiPriority w:val="99"/>
    <w:semiHidden/>
    <w:unhideWhenUsed/>
    <w:rsid w:val="004D34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A6440F-A497-4458-A0C4-9B7122A8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44314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Kuracina</dc:creator>
  <cp:lastModifiedBy>Technology Services</cp:lastModifiedBy>
  <cp:revision>2</cp:revision>
  <cp:lastPrinted>2016-08-05T16:28:00Z</cp:lastPrinted>
  <dcterms:created xsi:type="dcterms:W3CDTF">2016-11-17T19:15:00Z</dcterms:created>
  <dcterms:modified xsi:type="dcterms:W3CDTF">2016-11-17T19:15:00Z</dcterms:modified>
</cp:coreProperties>
</file>